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0619C9">
      <w:pPr>
        <w:spacing w:line="360" w:lineRule="auto"/>
        <w:rPr>
          <w:rFonts w:hint="eastAsia" w:ascii="黑体" w:hAnsi="黑体" w:eastAsia="黑体"/>
          <w:sz w:val="32"/>
          <w:szCs w:val="32"/>
        </w:rPr>
      </w:pPr>
      <w:r>
        <w:rPr>
          <w:rFonts w:hint="eastAsia" w:ascii="黑体" w:hAnsi="黑体" w:eastAsia="黑体"/>
          <w:sz w:val="32"/>
          <w:szCs w:val="32"/>
        </w:rPr>
        <w:t>附件</w:t>
      </w:r>
      <w:r>
        <w:rPr>
          <w:rFonts w:ascii="黑体" w:hAnsi="黑体" w:eastAsia="黑体"/>
          <w:sz w:val="32"/>
          <w:szCs w:val="32"/>
        </w:rPr>
        <w:t>1</w:t>
      </w:r>
    </w:p>
    <w:p w14:paraId="431817E6">
      <w:pPr>
        <w:spacing w:line="360" w:lineRule="auto"/>
        <w:jc w:val="center"/>
        <w:rPr>
          <w:rFonts w:hint="eastAsia" w:ascii="方正小标宋简体" w:eastAsia="方正小标宋简体"/>
          <w:sz w:val="36"/>
          <w:szCs w:val="36"/>
        </w:rPr>
      </w:pPr>
      <w:r>
        <w:rPr>
          <w:rFonts w:hint="eastAsia" w:ascii="方正小标宋简体" w:eastAsia="方正小标宋简体"/>
          <w:sz w:val="36"/>
          <w:szCs w:val="36"/>
        </w:rPr>
        <w:t>2024年度中国精算师协会会员继续教育学分核算标准表</w:t>
      </w:r>
    </w:p>
    <w:tbl>
      <w:tblPr>
        <w:tblStyle w:val="3"/>
        <w:tblW w:w="14721" w:type="dxa"/>
        <w:jc w:val="center"/>
        <w:tblLayout w:type="fixed"/>
        <w:tblCellMar>
          <w:top w:w="0" w:type="dxa"/>
          <w:left w:w="108" w:type="dxa"/>
          <w:bottom w:w="0" w:type="dxa"/>
          <w:right w:w="108" w:type="dxa"/>
        </w:tblCellMar>
      </w:tblPr>
      <w:tblGrid>
        <w:gridCol w:w="653"/>
        <w:gridCol w:w="2831"/>
        <w:gridCol w:w="1004"/>
        <w:gridCol w:w="1077"/>
        <w:gridCol w:w="5533"/>
        <w:gridCol w:w="645"/>
        <w:gridCol w:w="2978"/>
      </w:tblGrid>
      <w:tr w14:paraId="3497B76E">
        <w:tblPrEx>
          <w:tblCellMar>
            <w:top w:w="0" w:type="dxa"/>
            <w:left w:w="108" w:type="dxa"/>
            <w:bottom w:w="0" w:type="dxa"/>
            <w:right w:w="108" w:type="dxa"/>
          </w:tblCellMar>
        </w:tblPrEx>
        <w:trPr>
          <w:trHeight w:val="239" w:hRule="atLeast"/>
          <w:jc w:val="center"/>
        </w:trPr>
        <w:tc>
          <w:tcPr>
            <w:tcW w:w="65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E59B144">
            <w:pPr>
              <w:widowControl/>
              <w:jc w:val="center"/>
              <w:rPr>
                <w:rFonts w:hint="eastAsia" w:ascii="仿宋_GB2312" w:hAnsi="等线" w:eastAsia="仿宋_GB2312" w:cs="宋体"/>
                <w:b/>
                <w:bCs/>
                <w:color w:val="000000"/>
                <w:kern w:val="0"/>
                <w:szCs w:val="21"/>
              </w:rPr>
            </w:pPr>
            <w:r>
              <w:rPr>
                <w:rFonts w:hint="eastAsia" w:ascii="仿宋_GB2312" w:hAnsi="等线" w:eastAsia="仿宋_GB2312" w:cs="宋体"/>
                <w:b/>
                <w:bCs/>
                <w:color w:val="000000"/>
                <w:kern w:val="0"/>
                <w:szCs w:val="21"/>
              </w:rPr>
              <w:t>序号</w:t>
            </w:r>
          </w:p>
        </w:tc>
        <w:tc>
          <w:tcPr>
            <w:tcW w:w="2831"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1F247F6">
            <w:pPr>
              <w:widowControl/>
              <w:jc w:val="center"/>
              <w:rPr>
                <w:rFonts w:hint="eastAsia" w:ascii="仿宋_GB2312" w:hAnsi="等线" w:eastAsia="仿宋_GB2312" w:cs="宋体"/>
                <w:b/>
                <w:bCs/>
                <w:color w:val="000000"/>
                <w:kern w:val="0"/>
                <w:szCs w:val="21"/>
              </w:rPr>
            </w:pPr>
            <w:r>
              <w:rPr>
                <w:rFonts w:hint="eastAsia" w:ascii="仿宋_GB2312" w:hAnsi="等线" w:eastAsia="仿宋_GB2312" w:cs="宋体"/>
                <w:b/>
                <w:bCs/>
                <w:color w:val="000000"/>
                <w:kern w:val="0"/>
                <w:szCs w:val="21"/>
              </w:rPr>
              <w:t>继续教育的形式</w:t>
            </w:r>
          </w:p>
        </w:tc>
        <w:tc>
          <w:tcPr>
            <w:tcW w:w="7614" w:type="dxa"/>
            <w:gridSpan w:val="3"/>
            <w:tcBorders>
              <w:top w:val="single" w:color="auto" w:sz="4" w:space="0"/>
              <w:left w:val="nil"/>
              <w:bottom w:val="single" w:color="auto" w:sz="4" w:space="0"/>
              <w:right w:val="single" w:color="auto" w:sz="4" w:space="0"/>
            </w:tcBorders>
            <w:shd w:val="clear" w:color="auto" w:fill="auto"/>
            <w:noWrap/>
            <w:vAlign w:val="center"/>
          </w:tcPr>
          <w:p w14:paraId="66BF5C11">
            <w:pPr>
              <w:widowControl/>
              <w:jc w:val="center"/>
              <w:rPr>
                <w:rFonts w:hint="eastAsia" w:ascii="仿宋_GB2312" w:hAnsi="等线" w:eastAsia="仿宋_GB2312" w:cs="宋体"/>
                <w:b/>
                <w:bCs/>
                <w:color w:val="000000"/>
                <w:kern w:val="0"/>
                <w:szCs w:val="21"/>
              </w:rPr>
            </w:pPr>
            <w:r>
              <w:rPr>
                <w:rFonts w:hint="eastAsia" w:ascii="仿宋_GB2312" w:hAnsi="等线" w:eastAsia="仿宋_GB2312" w:cs="宋体"/>
                <w:b/>
                <w:bCs/>
                <w:color w:val="000000"/>
                <w:kern w:val="0"/>
                <w:szCs w:val="21"/>
              </w:rPr>
              <w:t>2024年度开展主要活动及事项</w:t>
            </w:r>
          </w:p>
        </w:tc>
        <w:tc>
          <w:tcPr>
            <w:tcW w:w="64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63BDEC0">
            <w:pPr>
              <w:widowControl/>
              <w:jc w:val="center"/>
              <w:rPr>
                <w:rFonts w:hint="eastAsia" w:ascii="仿宋_GB2312" w:hAnsi="等线" w:eastAsia="仿宋_GB2312" w:cs="宋体"/>
                <w:b/>
                <w:bCs/>
                <w:color w:val="000000"/>
                <w:kern w:val="0"/>
                <w:szCs w:val="21"/>
              </w:rPr>
            </w:pPr>
            <w:r>
              <w:rPr>
                <w:rFonts w:hint="eastAsia" w:ascii="仿宋_GB2312" w:hAnsi="等线" w:eastAsia="仿宋_GB2312" w:cs="宋体"/>
                <w:b/>
                <w:bCs/>
                <w:color w:val="000000"/>
                <w:kern w:val="0"/>
                <w:szCs w:val="21"/>
              </w:rPr>
              <w:t>学分</w:t>
            </w:r>
          </w:p>
        </w:tc>
        <w:tc>
          <w:tcPr>
            <w:tcW w:w="2978"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1DD5F24">
            <w:pPr>
              <w:widowControl/>
              <w:jc w:val="center"/>
              <w:rPr>
                <w:rFonts w:hint="eastAsia" w:ascii="仿宋_GB2312" w:hAnsi="等线" w:eastAsia="仿宋_GB2312" w:cs="宋体"/>
                <w:b/>
                <w:bCs/>
                <w:color w:val="000000"/>
                <w:kern w:val="0"/>
                <w:szCs w:val="21"/>
              </w:rPr>
            </w:pPr>
            <w:r>
              <w:rPr>
                <w:rFonts w:hint="eastAsia" w:ascii="仿宋_GB2312" w:hAnsi="等线" w:eastAsia="仿宋_GB2312" w:cs="宋体"/>
                <w:b/>
                <w:bCs/>
                <w:color w:val="000000"/>
                <w:kern w:val="0"/>
                <w:szCs w:val="21"/>
              </w:rPr>
              <w:t>认可标准</w:t>
            </w:r>
          </w:p>
        </w:tc>
      </w:tr>
      <w:tr w14:paraId="1D4BA5BA">
        <w:tblPrEx>
          <w:tblCellMar>
            <w:top w:w="0" w:type="dxa"/>
            <w:left w:w="108" w:type="dxa"/>
            <w:bottom w:w="0" w:type="dxa"/>
            <w:right w:w="108" w:type="dxa"/>
          </w:tblCellMar>
        </w:tblPrEx>
        <w:trPr>
          <w:trHeight w:val="278" w:hRule="atLeast"/>
          <w:jc w:val="center"/>
        </w:trPr>
        <w:tc>
          <w:tcPr>
            <w:tcW w:w="653" w:type="dxa"/>
            <w:vMerge w:val="continue"/>
            <w:tcBorders>
              <w:top w:val="single" w:color="auto" w:sz="4" w:space="0"/>
              <w:left w:val="single" w:color="auto" w:sz="4" w:space="0"/>
              <w:bottom w:val="single" w:color="auto" w:sz="4" w:space="0"/>
              <w:right w:val="single" w:color="auto" w:sz="4" w:space="0"/>
            </w:tcBorders>
            <w:vAlign w:val="center"/>
          </w:tcPr>
          <w:p w14:paraId="3B64B826">
            <w:pPr>
              <w:widowControl/>
              <w:jc w:val="left"/>
              <w:rPr>
                <w:rFonts w:hint="eastAsia" w:ascii="仿宋_GB2312" w:hAnsi="等线" w:eastAsia="仿宋_GB2312" w:cs="宋体"/>
                <w:b/>
                <w:bCs/>
                <w:color w:val="000000"/>
                <w:kern w:val="0"/>
                <w:szCs w:val="21"/>
              </w:rPr>
            </w:pPr>
          </w:p>
        </w:tc>
        <w:tc>
          <w:tcPr>
            <w:tcW w:w="2831" w:type="dxa"/>
            <w:vMerge w:val="continue"/>
            <w:tcBorders>
              <w:top w:val="single" w:color="auto" w:sz="4" w:space="0"/>
              <w:left w:val="single" w:color="auto" w:sz="4" w:space="0"/>
              <w:bottom w:val="single" w:color="auto" w:sz="4" w:space="0"/>
              <w:right w:val="single" w:color="auto" w:sz="4" w:space="0"/>
            </w:tcBorders>
            <w:vAlign w:val="center"/>
          </w:tcPr>
          <w:p w14:paraId="21F964B2">
            <w:pPr>
              <w:widowControl/>
              <w:jc w:val="left"/>
              <w:rPr>
                <w:rFonts w:hint="eastAsia" w:ascii="仿宋_GB2312" w:hAnsi="等线" w:eastAsia="仿宋_GB2312" w:cs="宋体"/>
                <w:b/>
                <w:bCs/>
                <w:color w:val="000000"/>
                <w:kern w:val="0"/>
                <w:szCs w:val="21"/>
              </w:rPr>
            </w:pPr>
          </w:p>
        </w:tc>
        <w:tc>
          <w:tcPr>
            <w:tcW w:w="1004" w:type="dxa"/>
            <w:tcBorders>
              <w:top w:val="nil"/>
              <w:left w:val="nil"/>
              <w:bottom w:val="single" w:color="auto" w:sz="4" w:space="0"/>
              <w:right w:val="single" w:color="auto" w:sz="4" w:space="0"/>
            </w:tcBorders>
            <w:shd w:val="clear" w:color="auto" w:fill="auto"/>
            <w:noWrap/>
            <w:vAlign w:val="center"/>
          </w:tcPr>
          <w:p w14:paraId="7798C0CD">
            <w:pPr>
              <w:widowControl/>
              <w:jc w:val="left"/>
              <w:rPr>
                <w:rFonts w:hint="eastAsia" w:ascii="仿宋_GB2312" w:hAnsi="等线" w:eastAsia="仿宋_GB2312" w:cs="宋体"/>
                <w:b/>
                <w:bCs/>
                <w:color w:val="000000"/>
                <w:kern w:val="0"/>
                <w:szCs w:val="21"/>
              </w:rPr>
            </w:pPr>
            <w:r>
              <w:rPr>
                <w:rFonts w:hint="eastAsia" w:ascii="仿宋_GB2312" w:hAnsi="等线" w:eastAsia="仿宋_GB2312" w:cs="宋体"/>
                <w:b/>
                <w:bCs/>
                <w:color w:val="000000"/>
                <w:kern w:val="0"/>
                <w:szCs w:val="21"/>
              </w:rPr>
              <w:t>时间</w:t>
            </w:r>
          </w:p>
        </w:tc>
        <w:tc>
          <w:tcPr>
            <w:tcW w:w="1077" w:type="dxa"/>
            <w:tcBorders>
              <w:top w:val="nil"/>
              <w:left w:val="nil"/>
              <w:bottom w:val="single" w:color="auto" w:sz="4" w:space="0"/>
              <w:right w:val="single" w:color="auto" w:sz="4" w:space="0"/>
            </w:tcBorders>
            <w:shd w:val="clear" w:color="auto" w:fill="auto"/>
            <w:noWrap/>
            <w:vAlign w:val="center"/>
          </w:tcPr>
          <w:p w14:paraId="3A2964E5">
            <w:pPr>
              <w:widowControl/>
              <w:jc w:val="center"/>
              <w:rPr>
                <w:rFonts w:hint="eastAsia" w:ascii="仿宋_GB2312" w:hAnsi="等线" w:eastAsia="仿宋_GB2312" w:cs="宋体"/>
                <w:b/>
                <w:bCs/>
                <w:color w:val="000000"/>
                <w:kern w:val="0"/>
                <w:szCs w:val="21"/>
              </w:rPr>
            </w:pPr>
            <w:r>
              <w:rPr>
                <w:rFonts w:hint="eastAsia" w:ascii="仿宋_GB2312" w:hAnsi="等线" w:eastAsia="仿宋_GB2312" w:cs="宋体"/>
                <w:b/>
                <w:bCs/>
                <w:color w:val="000000"/>
                <w:kern w:val="0"/>
                <w:szCs w:val="21"/>
              </w:rPr>
              <w:t>形式</w:t>
            </w:r>
          </w:p>
        </w:tc>
        <w:tc>
          <w:tcPr>
            <w:tcW w:w="5533" w:type="dxa"/>
            <w:tcBorders>
              <w:top w:val="nil"/>
              <w:left w:val="nil"/>
              <w:bottom w:val="single" w:color="auto" w:sz="4" w:space="0"/>
              <w:right w:val="single" w:color="auto" w:sz="4" w:space="0"/>
            </w:tcBorders>
            <w:shd w:val="clear" w:color="auto" w:fill="auto"/>
            <w:noWrap/>
            <w:vAlign w:val="center"/>
          </w:tcPr>
          <w:p w14:paraId="611078BC">
            <w:pPr>
              <w:widowControl/>
              <w:jc w:val="center"/>
              <w:rPr>
                <w:rFonts w:hint="eastAsia" w:ascii="仿宋_GB2312" w:hAnsi="等线" w:eastAsia="仿宋_GB2312" w:cs="宋体"/>
                <w:b/>
                <w:bCs/>
                <w:color w:val="000000"/>
                <w:kern w:val="0"/>
                <w:szCs w:val="21"/>
              </w:rPr>
            </w:pPr>
            <w:r>
              <w:rPr>
                <w:rFonts w:hint="eastAsia" w:ascii="仿宋_GB2312" w:hAnsi="等线" w:eastAsia="仿宋_GB2312" w:cs="宋体"/>
                <w:b/>
                <w:bCs/>
                <w:color w:val="000000"/>
                <w:kern w:val="0"/>
                <w:szCs w:val="21"/>
              </w:rPr>
              <w:t>会议名称</w:t>
            </w:r>
          </w:p>
        </w:tc>
        <w:tc>
          <w:tcPr>
            <w:tcW w:w="645" w:type="dxa"/>
            <w:vMerge w:val="continue"/>
            <w:tcBorders>
              <w:top w:val="single" w:color="auto" w:sz="4" w:space="0"/>
              <w:left w:val="single" w:color="auto" w:sz="4" w:space="0"/>
              <w:bottom w:val="single" w:color="auto" w:sz="4" w:space="0"/>
              <w:right w:val="single" w:color="auto" w:sz="4" w:space="0"/>
            </w:tcBorders>
            <w:vAlign w:val="center"/>
          </w:tcPr>
          <w:p w14:paraId="4FF4B271">
            <w:pPr>
              <w:widowControl/>
              <w:jc w:val="left"/>
              <w:rPr>
                <w:rFonts w:hint="eastAsia" w:ascii="仿宋_GB2312" w:hAnsi="等线" w:eastAsia="仿宋_GB2312" w:cs="宋体"/>
                <w:b/>
                <w:bCs/>
                <w:color w:val="000000"/>
                <w:kern w:val="0"/>
                <w:szCs w:val="21"/>
              </w:rPr>
            </w:pPr>
          </w:p>
        </w:tc>
        <w:tc>
          <w:tcPr>
            <w:tcW w:w="2978" w:type="dxa"/>
            <w:vMerge w:val="continue"/>
            <w:tcBorders>
              <w:top w:val="single" w:color="auto" w:sz="4" w:space="0"/>
              <w:left w:val="single" w:color="auto" w:sz="4" w:space="0"/>
              <w:bottom w:val="single" w:color="auto" w:sz="4" w:space="0"/>
              <w:right w:val="single" w:color="auto" w:sz="4" w:space="0"/>
            </w:tcBorders>
            <w:vAlign w:val="center"/>
          </w:tcPr>
          <w:p w14:paraId="796E7356">
            <w:pPr>
              <w:widowControl/>
              <w:jc w:val="left"/>
              <w:rPr>
                <w:rFonts w:hint="eastAsia" w:ascii="仿宋_GB2312" w:hAnsi="等线" w:eastAsia="仿宋_GB2312" w:cs="宋体"/>
                <w:b/>
                <w:bCs/>
                <w:color w:val="000000"/>
                <w:kern w:val="0"/>
                <w:szCs w:val="21"/>
              </w:rPr>
            </w:pPr>
          </w:p>
        </w:tc>
      </w:tr>
      <w:tr w14:paraId="5F22AF9A">
        <w:tblPrEx>
          <w:tblCellMar>
            <w:top w:w="0" w:type="dxa"/>
            <w:left w:w="108" w:type="dxa"/>
            <w:bottom w:w="0" w:type="dxa"/>
            <w:right w:w="108" w:type="dxa"/>
          </w:tblCellMar>
        </w:tblPrEx>
        <w:trPr>
          <w:trHeight w:val="400" w:hRule="atLeast"/>
          <w:jc w:val="center"/>
        </w:trPr>
        <w:tc>
          <w:tcPr>
            <w:tcW w:w="653" w:type="dxa"/>
            <w:vMerge w:val="restart"/>
            <w:tcBorders>
              <w:top w:val="nil"/>
              <w:left w:val="single" w:color="auto" w:sz="4" w:space="0"/>
              <w:bottom w:val="single" w:color="auto" w:sz="4" w:space="0"/>
              <w:right w:val="single" w:color="auto" w:sz="4" w:space="0"/>
            </w:tcBorders>
            <w:shd w:val="clear" w:color="auto" w:fill="auto"/>
            <w:vAlign w:val="center"/>
          </w:tcPr>
          <w:p w14:paraId="7A21913B">
            <w:pPr>
              <w:widowControl/>
              <w:jc w:val="center"/>
              <w:rPr>
                <w:rFonts w:hint="eastAsia" w:ascii="仿宋_GB2312" w:hAnsi="等线" w:eastAsia="仿宋_GB2312" w:cs="宋体"/>
                <w:color w:val="000000"/>
                <w:kern w:val="0"/>
                <w:szCs w:val="21"/>
              </w:rPr>
            </w:pPr>
            <w:r>
              <w:rPr>
                <w:rFonts w:ascii="仿宋_GB2312" w:hAnsi="等线" w:eastAsia="仿宋_GB2312" w:cs="宋体"/>
                <w:color w:val="000000"/>
                <w:kern w:val="0"/>
                <w:szCs w:val="21"/>
              </w:rPr>
              <w:t>1</w:t>
            </w:r>
          </w:p>
        </w:tc>
        <w:tc>
          <w:tcPr>
            <w:tcW w:w="2831" w:type="dxa"/>
            <w:vMerge w:val="restart"/>
            <w:tcBorders>
              <w:top w:val="nil"/>
              <w:left w:val="single" w:color="auto" w:sz="4" w:space="0"/>
              <w:bottom w:val="single" w:color="auto" w:sz="4" w:space="0"/>
              <w:right w:val="single" w:color="auto" w:sz="4" w:space="0"/>
            </w:tcBorders>
            <w:shd w:val="clear" w:color="auto" w:fill="auto"/>
            <w:vAlign w:val="center"/>
          </w:tcPr>
          <w:p w14:paraId="74CD7B44">
            <w:pPr>
              <w:widowControl/>
              <w:jc w:val="center"/>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参加本协会举办的年会、培训、研讨会、学术报告会、</w:t>
            </w:r>
          </w:p>
          <w:p w14:paraId="09FEE335">
            <w:pPr>
              <w:widowControl/>
              <w:jc w:val="center"/>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专业论坛</w:t>
            </w:r>
          </w:p>
        </w:tc>
        <w:tc>
          <w:tcPr>
            <w:tcW w:w="1004" w:type="dxa"/>
            <w:tcBorders>
              <w:top w:val="nil"/>
              <w:left w:val="nil"/>
              <w:bottom w:val="single" w:color="auto" w:sz="4" w:space="0"/>
              <w:right w:val="single" w:color="auto" w:sz="4" w:space="0"/>
            </w:tcBorders>
            <w:shd w:val="clear" w:color="auto" w:fill="auto"/>
            <w:vAlign w:val="center"/>
          </w:tcPr>
          <w:p w14:paraId="125F1357">
            <w:pPr>
              <w:widowControl/>
              <w:jc w:val="center"/>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2月3日</w:t>
            </w:r>
          </w:p>
        </w:tc>
        <w:tc>
          <w:tcPr>
            <w:tcW w:w="1077" w:type="dxa"/>
            <w:tcBorders>
              <w:top w:val="nil"/>
              <w:left w:val="nil"/>
              <w:bottom w:val="single" w:color="auto" w:sz="4" w:space="0"/>
              <w:right w:val="single" w:color="auto" w:sz="4" w:space="0"/>
            </w:tcBorders>
            <w:shd w:val="clear" w:color="auto" w:fill="auto"/>
            <w:vAlign w:val="center"/>
          </w:tcPr>
          <w:p w14:paraId="6475B517">
            <w:pPr>
              <w:widowControl/>
              <w:jc w:val="center"/>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线上线下相结合</w:t>
            </w:r>
          </w:p>
        </w:tc>
        <w:tc>
          <w:tcPr>
            <w:tcW w:w="5533" w:type="dxa"/>
            <w:tcBorders>
              <w:top w:val="nil"/>
              <w:left w:val="nil"/>
              <w:bottom w:val="single" w:color="auto" w:sz="4" w:space="0"/>
              <w:right w:val="single" w:color="auto" w:sz="4" w:space="0"/>
            </w:tcBorders>
            <w:shd w:val="clear" w:color="auto" w:fill="auto"/>
            <w:vAlign w:val="center"/>
          </w:tcPr>
          <w:p w14:paraId="12B10DF2">
            <w:pPr>
              <w:widowControl/>
              <w:jc w:val="center"/>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2024年协会会员职业道德培训</w:t>
            </w:r>
          </w:p>
        </w:tc>
        <w:tc>
          <w:tcPr>
            <w:tcW w:w="645" w:type="dxa"/>
            <w:tcBorders>
              <w:top w:val="nil"/>
              <w:left w:val="nil"/>
              <w:bottom w:val="single" w:color="auto" w:sz="4" w:space="0"/>
              <w:right w:val="single" w:color="auto" w:sz="4" w:space="0"/>
            </w:tcBorders>
            <w:shd w:val="clear" w:color="auto" w:fill="auto"/>
            <w:noWrap/>
            <w:vAlign w:val="center"/>
          </w:tcPr>
          <w:p w14:paraId="2D70C78B">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3</w:t>
            </w:r>
          </w:p>
        </w:tc>
        <w:tc>
          <w:tcPr>
            <w:tcW w:w="2978" w:type="dxa"/>
            <w:vMerge w:val="restart"/>
            <w:tcBorders>
              <w:top w:val="nil"/>
              <w:left w:val="single" w:color="auto" w:sz="4" w:space="0"/>
              <w:bottom w:val="single" w:color="auto" w:sz="4" w:space="0"/>
              <w:right w:val="single" w:color="auto" w:sz="4" w:space="0"/>
            </w:tcBorders>
            <w:shd w:val="clear" w:color="auto" w:fill="auto"/>
            <w:vAlign w:val="center"/>
          </w:tcPr>
          <w:p w14:paraId="5AA3F609">
            <w:pPr>
              <w:widowControl/>
              <w:jc w:val="center"/>
              <w:rPr>
                <w:rFonts w:hint="eastAsia" w:ascii="仿宋_GB2312" w:hAnsi="等线" w:eastAsia="仿宋_GB2312" w:cs="宋体"/>
                <w:color w:val="000000"/>
                <w:kern w:val="0"/>
                <w:szCs w:val="21"/>
              </w:rPr>
            </w:pPr>
            <w:r>
              <w:rPr>
                <w:rFonts w:hint="eastAsia" w:ascii="仿宋_GB2312" w:hAnsi="等线" w:eastAsia="仿宋_GB2312" w:cs="宋体"/>
                <w:kern w:val="0"/>
                <w:sz w:val="20"/>
                <w:szCs w:val="20"/>
              </w:rPr>
              <w:t>/</w:t>
            </w:r>
          </w:p>
        </w:tc>
      </w:tr>
      <w:tr w14:paraId="7FA4FED2">
        <w:tblPrEx>
          <w:tblCellMar>
            <w:top w:w="0" w:type="dxa"/>
            <w:left w:w="108" w:type="dxa"/>
            <w:bottom w:w="0" w:type="dxa"/>
            <w:right w:w="108" w:type="dxa"/>
          </w:tblCellMar>
        </w:tblPrEx>
        <w:trPr>
          <w:trHeight w:val="400" w:hRule="atLeast"/>
          <w:jc w:val="center"/>
        </w:trPr>
        <w:tc>
          <w:tcPr>
            <w:tcW w:w="653" w:type="dxa"/>
            <w:vMerge w:val="continue"/>
            <w:tcBorders>
              <w:top w:val="nil"/>
              <w:left w:val="single" w:color="auto" w:sz="4" w:space="0"/>
              <w:bottom w:val="single" w:color="auto" w:sz="4" w:space="0"/>
              <w:right w:val="single" w:color="auto" w:sz="4" w:space="0"/>
            </w:tcBorders>
            <w:shd w:val="clear" w:color="auto" w:fill="auto"/>
            <w:vAlign w:val="center"/>
          </w:tcPr>
          <w:p w14:paraId="50B79C35">
            <w:pPr>
              <w:widowControl/>
              <w:jc w:val="center"/>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shd w:val="clear" w:color="auto" w:fill="auto"/>
            <w:vAlign w:val="center"/>
          </w:tcPr>
          <w:p w14:paraId="2EF0815C">
            <w:pPr>
              <w:widowControl/>
              <w:jc w:val="center"/>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5B9F73AC">
            <w:pPr>
              <w:widowControl/>
              <w:jc w:val="center"/>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3月22日</w:t>
            </w:r>
          </w:p>
        </w:tc>
        <w:tc>
          <w:tcPr>
            <w:tcW w:w="1077" w:type="dxa"/>
            <w:tcBorders>
              <w:top w:val="nil"/>
              <w:left w:val="nil"/>
              <w:bottom w:val="single" w:color="auto" w:sz="4" w:space="0"/>
              <w:right w:val="single" w:color="auto" w:sz="4" w:space="0"/>
            </w:tcBorders>
            <w:shd w:val="clear" w:color="auto" w:fill="auto"/>
            <w:vAlign w:val="center"/>
          </w:tcPr>
          <w:p w14:paraId="0F2571BE">
            <w:pPr>
              <w:widowControl/>
              <w:jc w:val="center"/>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线上会议</w:t>
            </w:r>
          </w:p>
        </w:tc>
        <w:tc>
          <w:tcPr>
            <w:tcW w:w="5533" w:type="dxa"/>
            <w:tcBorders>
              <w:top w:val="nil"/>
              <w:left w:val="nil"/>
              <w:bottom w:val="single" w:color="auto" w:sz="4" w:space="0"/>
              <w:right w:val="single" w:color="auto" w:sz="4" w:space="0"/>
            </w:tcBorders>
            <w:shd w:val="clear" w:color="auto" w:fill="auto"/>
            <w:vAlign w:val="center"/>
          </w:tcPr>
          <w:p w14:paraId="2A893AD9">
            <w:pPr>
              <w:widowControl/>
              <w:jc w:val="center"/>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中国精算师协会与北美精算师协会联合网络系列培训课程</w:t>
            </w:r>
          </w:p>
        </w:tc>
        <w:tc>
          <w:tcPr>
            <w:tcW w:w="645" w:type="dxa"/>
            <w:tcBorders>
              <w:top w:val="nil"/>
              <w:left w:val="nil"/>
              <w:bottom w:val="single" w:color="auto" w:sz="4" w:space="0"/>
              <w:right w:val="single" w:color="auto" w:sz="4" w:space="0"/>
            </w:tcBorders>
            <w:shd w:val="clear" w:color="auto" w:fill="auto"/>
            <w:noWrap/>
            <w:vAlign w:val="center"/>
          </w:tcPr>
          <w:p w14:paraId="6DA372D7">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2</w:t>
            </w:r>
          </w:p>
        </w:tc>
        <w:tc>
          <w:tcPr>
            <w:tcW w:w="2978" w:type="dxa"/>
            <w:vMerge w:val="continue"/>
            <w:tcBorders>
              <w:top w:val="nil"/>
              <w:left w:val="single" w:color="auto" w:sz="4" w:space="0"/>
              <w:bottom w:val="single" w:color="auto" w:sz="4" w:space="0"/>
              <w:right w:val="single" w:color="auto" w:sz="4" w:space="0"/>
            </w:tcBorders>
            <w:shd w:val="clear" w:color="auto" w:fill="auto"/>
            <w:vAlign w:val="center"/>
          </w:tcPr>
          <w:p w14:paraId="3279A468">
            <w:pPr>
              <w:widowControl/>
              <w:jc w:val="center"/>
              <w:rPr>
                <w:rFonts w:hint="eastAsia" w:ascii="仿宋_GB2312" w:hAnsi="等线" w:eastAsia="仿宋_GB2312" w:cs="宋体"/>
                <w:kern w:val="0"/>
                <w:sz w:val="20"/>
                <w:szCs w:val="20"/>
              </w:rPr>
            </w:pPr>
          </w:p>
        </w:tc>
      </w:tr>
      <w:tr w14:paraId="1A7D8394">
        <w:tblPrEx>
          <w:tblCellMar>
            <w:top w:w="0" w:type="dxa"/>
            <w:left w:w="108" w:type="dxa"/>
            <w:bottom w:w="0" w:type="dxa"/>
            <w:right w:w="108" w:type="dxa"/>
          </w:tblCellMar>
        </w:tblPrEx>
        <w:trPr>
          <w:trHeight w:val="400" w:hRule="atLeast"/>
          <w:jc w:val="center"/>
        </w:trPr>
        <w:tc>
          <w:tcPr>
            <w:tcW w:w="653" w:type="dxa"/>
            <w:vMerge w:val="continue"/>
            <w:tcBorders>
              <w:top w:val="nil"/>
              <w:left w:val="single" w:color="auto" w:sz="4" w:space="0"/>
              <w:bottom w:val="single" w:color="auto" w:sz="4" w:space="0"/>
              <w:right w:val="single" w:color="auto" w:sz="4" w:space="0"/>
            </w:tcBorders>
            <w:vAlign w:val="center"/>
          </w:tcPr>
          <w:p w14:paraId="77D0C4B5">
            <w:pPr>
              <w:widowControl/>
              <w:jc w:val="left"/>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vAlign w:val="center"/>
          </w:tcPr>
          <w:p w14:paraId="1F174EDD">
            <w:pPr>
              <w:widowControl/>
              <w:jc w:val="left"/>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5C39388B">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4月26日</w:t>
            </w:r>
          </w:p>
        </w:tc>
        <w:tc>
          <w:tcPr>
            <w:tcW w:w="1077" w:type="dxa"/>
            <w:tcBorders>
              <w:top w:val="nil"/>
              <w:left w:val="nil"/>
              <w:bottom w:val="single" w:color="auto" w:sz="4" w:space="0"/>
              <w:right w:val="single" w:color="auto" w:sz="4" w:space="0"/>
            </w:tcBorders>
            <w:shd w:val="clear" w:color="auto" w:fill="auto"/>
            <w:vAlign w:val="center"/>
          </w:tcPr>
          <w:p w14:paraId="1A3B188C">
            <w:pPr>
              <w:widowControl/>
              <w:jc w:val="center"/>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线上会议</w:t>
            </w:r>
          </w:p>
        </w:tc>
        <w:tc>
          <w:tcPr>
            <w:tcW w:w="5533" w:type="dxa"/>
            <w:tcBorders>
              <w:top w:val="nil"/>
              <w:left w:val="nil"/>
              <w:bottom w:val="single" w:color="auto" w:sz="4" w:space="0"/>
              <w:right w:val="single" w:color="auto" w:sz="4" w:space="0"/>
            </w:tcBorders>
            <w:shd w:val="clear" w:color="auto" w:fill="auto"/>
            <w:vAlign w:val="center"/>
          </w:tcPr>
          <w:p w14:paraId="6829637C">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华南地区寿险精算讲堂第22讲（2024年度）</w:t>
            </w:r>
          </w:p>
        </w:tc>
        <w:tc>
          <w:tcPr>
            <w:tcW w:w="645" w:type="dxa"/>
            <w:tcBorders>
              <w:top w:val="nil"/>
              <w:left w:val="nil"/>
              <w:bottom w:val="single" w:color="auto" w:sz="4" w:space="0"/>
              <w:right w:val="single" w:color="auto" w:sz="4" w:space="0"/>
            </w:tcBorders>
            <w:shd w:val="clear" w:color="auto" w:fill="auto"/>
            <w:noWrap/>
            <w:vAlign w:val="center"/>
          </w:tcPr>
          <w:p w14:paraId="16DA87D5">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2</w:t>
            </w:r>
          </w:p>
        </w:tc>
        <w:tc>
          <w:tcPr>
            <w:tcW w:w="2978" w:type="dxa"/>
            <w:vMerge w:val="continue"/>
            <w:tcBorders>
              <w:top w:val="nil"/>
              <w:left w:val="single" w:color="auto" w:sz="4" w:space="0"/>
              <w:bottom w:val="single" w:color="auto" w:sz="4" w:space="0"/>
              <w:right w:val="single" w:color="auto" w:sz="4" w:space="0"/>
            </w:tcBorders>
            <w:vAlign w:val="center"/>
          </w:tcPr>
          <w:p w14:paraId="5899AC8D">
            <w:pPr>
              <w:widowControl/>
              <w:jc w:val="left"/>
              <w:rPr>
                <w:rFonts w:hint="eastAsia" w:ascii="仿宋_GB2312" w:hAnsi="等线" w:eastAsia="仿宋_GB2312" w:cs="宋体"/>
                <w:color w:val="000000"/>
                <w:kern w:val="0"/>
                <w:szCs w:val="21"/>
              </w:rPr>
            </w:pPr>
          </w:p>
        </w:tc>
      </w:tr>
      <w:tr w14:paraId="1AD8779E">
        <w:tblPrEx>
          <w:tblCellMar>
            <w:top w:w="0" w:type="dxa"/>
            <w:left w:w="108" w:type="dxa"/>
            <w:bottom w:w="0" w:type="dxa"/>
            <w:right w:w="108" w:type="dxa"/>
          </w:tblCellMar>
        </w:tblPrEx>
        <w:trPr>
          <w:trHeight w:val="554" w:hRule="atLeast"/>
          <w:jc w:val="center"/>
        </w:trPr>
        <w:tc>
          <w:tcPr>
            <w:tcW w:w="653" w:type="dxa"/>
            <w:vMerge w:val="continue"/>
            <w:tcBorders>
              <w:top w:val="nil"/>
              <w:left w:val="single" w:color="auto" w:sz="4" w:space="0"/>
              <w:bottom w:val="single" w:color="auto" w:sz="4" w:space="0"/>
              <w:right w:val="single" w:color="auto" w:sz="4" w:space="0"/>
            </w:tcBorders>
            <w:vAlign w:val="center"/>
          </w:tcPr>
          <w:p w14:paraId="5C2D7CE3">
            <w:pPr>
              <w:widowControl/>
              <w:jc w:val="left"/>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vAlign w:val="center"/>
          </w:tcPr>
          <w:p w14:paraId="581CEC2D">
            <w:pPr>
              <w:widowControl/>
              <w:jc w:val="left"/>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689D60C6">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4月28日</w:t>
            </w:r>
          </w:p>
        </w:tc>
        <w:tc>
          <w:tcPr>
            <w:tcW w:w="1077" w:type="dxa"/>
            <w:tcBorders>
              <w:top w:val="nil"/>
              <w:left w:val="nil"/>
              <w:bottom w:val="single" w:color="auto" w:sz="4" w:space="0"/>
              <w:right w:val="single" w:color="auto" w:sz="4" w:space="0"/>
            </w:tcBorders>
            <w:shd w:val="clear" w:color="auto" w:fill="auto"/>
            <w:vAlign w:val="center"/>
          </w:tcPr>
          <w:p w14:paraId="78967161">
            <w:pPr>
              <w:widowControl/>
              <w:jc w:val="center"/>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线上会议</w:t>
            </w:r>
          </w:p>
        </w:tc>
        <w:tc>
          <w:tcPr>
            <w:tcW w:w="5533" w:type="dxa"/>
            <w:tcBorders>
              <w:top w:val="nil"/>
              <w:left w:val="nil"/>
              <w:bottom w:val="single" w:color="auto" w:sz="4" w:space="0"/>
              <w:right w:val="single" w:color="auto" w:sz="4" w:space="0"/>
            </w:tcBorders>
            <w:shd w:val="clear" w:color="auto" w:fill="auto"/>
            <w:vAlign w:val="center"/>
          </w:tcPr>
          <w:p w14:paraId="3E889431">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华东地区非寿险精算讲堂第35讲（2024年度）</w:t>
            </w:r>
          </w:p>
        </w:tc>
        <w:tc>
          <w:tcPr>
            <w:tcW w:w="645" w:type="dxa"/>
            <w:tcBorders>
              <w:top w:val="nil"/>
              <w:left w:val="nil"/>
              <w:bottom w:val="single" w:color="auto" w:sz="4" w:space="0"/>
              <w:right w:val="single" w:color="auto" w:sz="4" w:space="0"/>
            </w:tcBorders>
            <w:shd w:val="clear" w:color="auto" w:fill="auto"/>
            <w:noWrap/>
            <w:vAlign w:val="center"/>
          </w:tcPr>
          <w:p w14:paraId="18AA02AE">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2</w:t>
            </w:r>
          </w:p>
        </w:tc>
        <w:tc>
          <w:tcPr>
            <w:tcW w:w="2978" w:type="dxa"/>
            <w:vMerge w:val="continue"/>
            <w:tcBorders>
              <w:top w:val="nil"/>
              <w:left w:val="single" w:color="auto" w:sz="4" w:space="0"/>
              <w:bottom w:val="single" w:color="auto" w:sz="4" w:space="0"/>
              <w:right w:val="single" w:color="auto" w:sz="4" w:space="0"/>
            </w:tcBorders>
            <w:vAlign w:val="center"/>
          </w:tcPr>
          <w:p w14:paraId="4D358FBF">
            <w:pPr>
              <w:widowControl/>
              <w:jc w:val="left"/>
              <w:rPr>
                <w:rFonts w:hint="eastAsia" w:ascii="仿宋_GB2312" w:hAnsi="等线" w:eastAsia="仿宋_GB2312" w:cs="宋体"/>
                <w:color w:val="000000"/>
                <w:kern w:val="0"/>
                <w:szCs w:val="21"/>
              </w:rPr>
            </w:pPr>
          </w:p>
        </w:tc>
      </w:tr>
      <w:tr w14:paraId="51307914">
        <w:tblPrEx>
          <w:tblCellMar>
            <w:top w:w="0" w:type="dxa"/>
            <w:left w:w="108" w:type="dxa"/>
            <w:bottom w:w="0" w:type="dxa"/>
            <w:right w:w="108" w:type="dxa"/>
          </w:tblCellMar>
        </w:tblPrEx>
        <w:trPr>
          <w:trHeight w:val="400" w:hRule="atLeast"/>
          <w:jc w:val="center"/>
        </w:trPr>
        <w:tc>
          <w:tcPr>
            <w:tcW w:w="653" w:type="dxa"/>
            <w:vMerge w:val="continue"/>
            <w:tcBorders>
              <w:top w:val="nil"/>
              <w:left w:val="single" w:color="auto" w:sz="4" w:space="0"/>
              <w:bottom w:val="single" w:color="auto" w:sz="4" w:space="0"/>
              <w:right w:val="single" w:color="auto" w:sz="4" w:space="0"/>
            </w:tcBorders>
            <w:vAlign w:val="center"/>
          </w:tcPr>
          <w:p w14:paraId="7D71AB15">
            <w:pPr>
              <w:widowControl/>
              <w:jc w:val="left"/>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vAlign w:val="center"/>
          </w:tcPr>
          <w:p w14:paraId="0CBD37CC">
            <w:pPr>
              <w:widowControl/>
              <w:jc w:val="left"/>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521247A1">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5月10日</w:t>
            </w:r>
          </w:p>
        </w:tc>
        <w:tc>
          <w:tcPr>
            <w:tcW w:w="1077" w:type="dxa"/>
            <w:tcBorders>
              <w:top w:val="nil"/>
              <w:left w:val="nil"/>
              <w:bottom w:val="single" w:color="auto" w:sz="4" w:space="0"/>
              <w:right w:val="single" w:color="auto" w:sz="4" w:space="0"/>
            </w:tcBorders>
            <w:shd w:val="clear" w:color="auto" w:fill="auto"/>
            <w:vAlign w:val="center"/>
          </w:tcPr>
          <w:p w14:paraId="2252C002">
            <w:pPr>
              <w:widowControl/>
              <w:jc w:val="center"/>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线上会议</w:t>
            </w:r>
          </w:p>
        </w:tc>
        <w:tc>
          <w:tcPr>
            <w:tcW w:w="5533" w:type="dxa"/>
            <w:tcBorders>
              <w:top w:val="nil"/>
              <w:left w:val="nil"/>
              <w:bottom w:val="single" w:color="auto" w:sz="4" w:space="0"/>
              <w:right w:val="single" w:color="auto" w:sz="4" w:space="0"/>
            </w:tcBorders>
            <w:shd w:val="clear" w:color="auto" w:fill="auto"/>
            <w:vAlign w:val="center"/>
          </w:tcPr>
          <w:p w14:paraId="5B9CE25E">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华北地区非寿险精算讲堂第26讲（2024年度）</w:t>
            </w:r>
          </w:p>
        </w:tc>
        <w:tc>
          <w:tcPr>
            <w:tcW w:w="645" w:type="dxa"/>
            <w:tcBorders>
              <w:top w:val="nil"/>
              <w:left w:val="nil"/>
              <w:bottom w:val="single" w:color="auto" w:sz="4" w:space="0"/>
              <w:right w:val="single" w:color="auto" w:sz="4" w:space="0"/>
            </w:tcBorders>
            <w:shd w:val="clear" w:color="auto" w:fill="auto"/>
            <w:noWrap/>
            <w:vAlign w:val="center"/>
          </w:tcPr>
          <w:p w14:paraId="2CA52197">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2</w:t>
            </w:r>
          </w:p>
        </w:tc>
        <w:tc>
          <w:tcPr>
            <w:tcW w:w="2978" w:type="dxa"/>
            <w:vMerge w:val="continue"/>
            <w:tcBorders>
              <w:top w:val="nil"/>
              <w:left w:val="single" w:color="auto" w:sz="4" w:space="0"/>
              <w:bottom w:val="single" w:color="auto" w:sz="4" w:space="0"/>
              <w:right w:val="single" w:color="auto" w:sz="4" w:space="0"/>
            </w:tcBorders>
            <w:vAlign w:val="center"/>
          </w:tcPr>
          <w:p w14:paraId="560677D8">
            <w:pPr>
              <w:widowControl/>
              <w:jc w:val="left"/>
              <w:rPr>
                <w:rFonts w:hint="eastAsia" w:ascii="仿宋_GB2312" w:hAnsi="等线" w:eastAsia="仿宋_GB2312" w:cs="宋体"/>
                <w:color w:val="000000"/>
                <w:kern w:val="0"/>
                <w:szCs w:val="21"/>
              </w:rPr>
            </w:pPr>
          </w:p>
        </w:tc>
      </w:tr>
      <w:tr w14:paraId="18A70BFA">
        <w:tblPrEx>
          <w:tblCellMar>
            <w:top w:w="0" w:type="dxa"/>
            <w:left w:w="108" w:type="dxa"/>
            <w:bottom w:w="0" w:type="dxa"/>
            <w:right w:w="108" w:type="dxa"/>
          </w:tblCellMar>
        </w:tblPrEx>
        <w:trPr>
          <w:trHeight w:val="758" w:hRule="atLeast"/>
          <w:jc w:val="center"/>
        </w:trPr>
        <w:tc>
          <w:tcPr>
            <w:tcW w:w="653" w:type="dxa"/>
            <w:vMerge w:val="continue"/>
            <w:tcBorders>
              <w:top w:val="nil"/>
              <w:left w:val="single" w:color="auto" w:sz="4" w:space="0"/>
              <w:bottom w:val="single" w:color="auto" w:sz="4" w:space="0"/>
              <w:right w:val="single" w:color="auto" w:sz="4" w:space="0"/>
            </w:tcBorders>
            <w:vAlign w:val="center"/>
          </w:tcPr>
          <w:p w14:paraId="4BA1C56A">
            <w:pPr>
              <w:widowControl/>
              <w:jc w:val="left"/>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vAlign w:val="center"/>
          </w:tcPr>
          <w:p w14:paraId="181F427C">
            <w:pPr>
              <w:widowControl/>
              <w:jc w:val="left"/>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024653C3">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5月17日</w:t>
            </w:r>
          </w:p>
        </w:tc>
        <w:tc>
          <w:tcPr>
            <w:tcW w:w="1077" w:type="dxa"/>
            <w:tcBorders>
              <w:top w:val="nil"/>
              <w:left w:val="nil"/>
              <w:bottom w:val="single" w:color="auto" w:sz="4" w:space="0"/>
              <w:right w:val="single" w:color="auto" w:sz="4" w:space="0"/>
            </w:tcBorders>
            <w:shd w:val="clear" w:color="auto" w:fill="auto"/>
            <w:vAlign w:val="center"/>
          </w:tcPr>
          <w:p w14:paraId="5F08029B">
            <w:pPr>
              <w:widowControl/>
              <w:jc w:val="center"/>
              <w:rPr>
                <w:rFonts w:hint="eastAsia" w:ascii="仿宋_GB2312" w:hAnsi="等线" w:eastAsia="仿宋_GB2312" w:cs="宋体"/>
                <w:color w:val="000000"/>
                <w:kern w:val="0"/>
                <w:szCs w:val="21"/>
              </w:rPr>
            </w:pPr>
            <w:bookmarkStart w:id="0" w:name="OLE_LINK1"/>
            <w:r>
              <w:rPr>
                <w:rFonts w:hint="eastAsia" w:ascii="仿宋_GB2312" w:hAnsi="等线" w:eastAsia="仿宋_GB2312" w:cs="宋体"/>
                <w:color w:val="000000"/>
                <w:kern w:val="0"/>
                <w:szCs w:val="21"/>
              </w:rPr>
              <w:t>线上线下相结合</w:t>
            </w:r>
            <w:bookmarkEnd w:id="0"/>
          </w:p>
        </w:tc>
        <w:tc>
          <w:tcPr>
            <w:tcW w:w="5533" w:type="dxa"/>
            <w:tcBorders>
              <w:top w:val="nil"/>
              <w:left w:val="nil"/>
              <w:bottom w:val="single" w:color="auto" w:sz="4" w:space="0"/>
              <w:right w:val="single" w:color="auto" w:sz="4" w:space="0"/>
            </w:tcBorders>
            <w:shd w:val="clear" w:color="auto" w:fill="auto"/>
            <w:vAlign w:val="center"/>
          </w:tcPr>
          <w:p w14:paraId="5158D8F0">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华南地区非寿险精算讲堂第22讲（2024年度）</w:t>
            </w:r>
          </w:p>
        </w:tc>
        <w:tc>
          <w:tcPr>
            <w:tcW w:w="645" w:type="dxa"/>
            <w:tcBorders>
              <w:top w:val="nil"/>
              <w:left w:val="nil"/>
              <w:bottom w:val="single" w:color="auto" w:sz="4" w:space="0"/>
              <w:right w:val="single" w:color="auto" w:sz="4" w:space="0"/>
            </w:tcBorders>
            <w:shd w:val="clear" w:color="auto" w:fill="auto"/>
            <w:noWrap/>
            <w:vAlign w:val="center"/>
          </w:tcPr>
          <w:p w14:paraId="58875DDB">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2</w:t>
            </w:r>
          </w:p>
        </w:tc>
        <w:tc>
          <w:tcPr>
            <w:tcW w:w="2978" w:type="dxa"/>
            <w:vMerge w:val="continue"/>
            <w:tcBorders>
              <w:top w:val="nil"/>
              <w:left w:val="single" w:color="auto" w:sz="4" w:space="0"/>
              <w:bottom w:val="single" w:color="auto" w:sz="4" w:space="0"/>
              <w:right w:val="single" w:color="auto" w:sz="4" w:space="0"/>
            </w:tcBorders>
            <w:vAlign w:val="center"/>
          </w:tcPr>
          <w:p w14:paraId="5C287F43">
            <w:pPr>
              <w:widowControl/>
              <w:jc w:val="left"/>
              <w:rPr>
                <w:rFonts w:hint="eastAsia" w:ascii="仿宋_GB2312" w:hAnsi="等线" w:eastAsia="仿宋_GB2312" w:cs="宋体"/>
                <w:color w:val="000000"/>
                <w:kern w:val="0"/>
                <w:szCs w:val="21"/>
              </w:rPr>
            </w:pPr>
          </w:p>
        </w:tc>
      </w:tr>
      <w:tr w14:paraId="055CA27F">
        <w:tblPrEx>
          <w:tblCellMar>
            <w:top w:w="0" w:type="dxa"/>
            <w:left w:w="108" w:type="dxa"/>
            <w:bottom w:w="0" w:type="dxa"/>
            <w:right w:w="108" w:type="dxa"/>
          </w:tblCellMar>
        </w:tblPrEx>
        <w:trPr>
          <w:trHeight w:val="278" w:hRule="atLeast"/>
          <w:jc w:val="center"/>
        </w:trPr>
        <w:tc>
          <w:tcPr>
            <w:tcW w:w="653" w:type="dxa"/>
            <w:vMerge w:val="continue"/>
            <w:tcBorders>
              <w:top w:val="nil"/>
              <w:left w:val="single" w:color="auto" w:sz="4" w:space="0"/>
              <w:bottom w:val="single" w:color="auto" w:sz="4" w:space="0"/>
              <w:right w:val="single" w:color="auto" w:sz="4" w:space="0"/>
            </w:tcBorders>
            <w:vAlign w:val="center"/>
          </w:tcPr>
          <w:p w14:paraId="5B83391B">
            <w:pPr>
              <w:widowControl/>
              <w:jc w:val="left"/>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vAlign w:val="center"/>
          </w:tcPr>
          <w:p w14:paraId="54329EFE">
            <w:pPr>
              <w:widowControl/>
              <w:jc w:val="left"/>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350A5C7A">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5月24日</w:t>
            </w:r>
          </w:p>
        </w:tc>
        <w:tc>
          <w:tcPr>
            <w:tcW w:w="1077" w:type="dxa"/>
            <w:tcBorders>
              <w:top w:val="nil"/>
              <w:left w:val="nil"/>
              <w:bottom w:val="single" w:color="auto" w:sz="4" w:space="0"/>
              <w:right w:val="single" w:color="auto" w:sz="4" w:space="0"/>
            </w:tcBorders>
            <w:shd w:val="clear" w:color="auto" w:fill="auto"/>
            <w:vAlign w:val="center"/>
          </w:tcPr>
          <w:p w14:paraId="698A84DE">
            <w:pPr>
              <w:widowControl/>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线上会议</w:t>
            </w:r>
          </w:p>
        </w:tc>
        <w:tc>
          <w:tcPr>
            <w:tcW w:w="5533" w:type="dxa"/>
            <w:tcBorders>
              <w:top w:val="nil"/>
              <w:left w:val="nil"/>
              <w:bottom w:val="single" w:color="auto" w:sz="4" w:space="0"/>
              <w:right w:val="single" w:color="auto" w:sz="4" w:space="0"/>
            </w:tcBorders>
            <w:shd w:val="clear" w:color="auto" w:fill="auto"/>
            <w:vAlign w:val="center"/>
          </w:tcPr>
          <w:p w14:paraId="02181C9B">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华北地区寿险精算讲堂第15讲（2024年度）</w:t>
            </w:r>
          </w:p>
        </w:tc>
        <w:tc>
          <w:tcPr>
            <w:tcW w:w="645" w:type="dxa"/>
            <w:tcBorders>
              <w:top w:val="nil"/>
              <w:left w:val="nil"/>
              <w:bottom w:val="single" w:color="auto" w:sz="4" w:space="0"/>
              <w:right w:val="single" w:color="auto" w:sz="4" w:space="0"/>
            </w:tcBorders>
            <w:shd w:val="clear" w:color="auto" w:fill="auto"/>
            <w:noWrap/>
            <w:vAlign w:val="center"/>
          </w:tcPr>
          <w:p w14:paraId="720E259F">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2</w:t>
            </w:r>
          </w:p>
        </w:tc>
        <w:tc>
          <w:tcPr>
            <w:tcW w:w="2978" w:type="dxa"/>
            <w:vMerge w:val="continue"/>
            <w:tcBorders>
              <w:top w:val="nil"/>
              <w:left w:val="single" w:color="auto" w:sz="4" w:space="0"/>
              <w:bottom w:val="single" w:color="auto" w:sz="4" w:space="0"/>
              <w:right w:val="single" w:color="auto" w:sz="4" w:space="0"/>
            </w:tcBorders>
            <w:vAlign w:val="center"/>
          </w:tcPr>
          <w:p w14:paraId="23C63143">
            <w:pPr>
              <w:widowControl/>
              <w:jc w:val="left"/>
              <w:rPr>
                <w:rFonts w:hint="eastAsia" w:ascii="仿宋_GB2312" w:hAnsi="等线" w:eastAsia="仿宋_GB2312" w:cs="宋体"/>
                <w:color w:val="000000"/>
                <w:kern w:val="0"/>
                <w:szCs w:val="21"/>
              </w:rPr>
            </w:pPr>
          </w:p>
        </w:tc>
      </w:tr>
      <w:tr w14:paraId="06B311FC">
        <w:tblPrEx>
          <w:tblCellMar>
            <w:top w:w="0" w:type="dxa"/>
            <w:left w:w="108" w:type="dxa"/>
            <w:bottom w:w="0" w:type="dxa"/>
            <w:right w:w="108" w:type="dxa"/>
          </w:tblCellMar>
        </w:tblPrEx>
        <w:trPr>
          <w:trHeight w:val="278" w:hRule="atLeast"/>
          <w:jc w:val="center"/>
        </w:trPr>
        <w:tc>
          <w:tcPr>
            <w:tcW w:w="653" w:type="dxa"/>
            <w:vMerge w:val="continue"/>
            <w:tcBorders>
              <w:top w:val="nil"/>
              <w:left w:val="single" w:color="auto" w:sz="4" w:space="0"/>
              <w:bottom w:val="single" w:color="auto" w:sz="4" w:space="0"/>
              <w:right w:val="single" w:color="auto" w:sz="4" w:space="0"/>
            </w:tcBorders>
            <w:vAlign w:val="center"/>
          </w:tcPr>
          <w:p w14:paraId="4DD29CBB">
            <w:pPr>
              <w:widowControl/>
              <w:jc w:val="left"/>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vAlign w:val="center"/>
          </w:tcPr>
          <w:p w14:paraId="23D38D6C">
            <w:pPr>
              <w:widowControl/>
              <w:jc w:val="left"/>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05E539C3">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7月5日</w:t>
            </w:r>
          </w:p>
        </w:tc>
        <w:tc>
          <w:tcPr>
            <w:tcW w:w="1077" w:type="dxa"/>
            <w:tcBorders>
              <w:top w:val="nil"/>
              <w:left w:val="nil"/>
              <w:bottom w:val="single" w:color="auto" w:sz="4" w:space="0"/>
              <w:right w:val="single" w:color="auto" w:sz="4" w:space="0"/>
            </w:tcBorders>
            <w:shd w:val="clear" w:color="auto" w:fill="auto"/>
            <w:vAlign w:val="center"/>
          </w:tcPr>
          <w:p w14:paraId="45E592EE">
            <w:pPr>
              <w:widowControl/>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线上会议</w:t>
            </w:r>
          </w:p>
        </w:tc>
        <w:tc>
          <w:tcPr>
            <w:tcW w:w="5533" w:type="dxa"/>
            <w:tcBorders>
              <w:top w:val="nil"/>
              <w:left w:val="nil"/>
              <w:bottom w:val="single" w:color="auto" w:sz="4" w:space="0"/>
              <w:right w:val="single" w:color="auto" w:sz="4" w:space="0"/>
            </w:tcBorders>
            <w:shd w:val="clear" w:color="auto" w:fill="auto"/>
            <w:vAlign w:val="center"/>
          </w:tcPr>
          <w:p w14:paraId="13428AEE">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中国精算师协会与北美精算学会联合网络系列培训课程</w:t>
            </w:r>
          </w:p>
        </w:tc>
        <w:tc>
          <w:tcPr>
            <w:tcW w:w="645" w:type="dxa"/>
            <w:tcBorders>
              <w:top w:val="nil"/>
              <w:left w:val="nil"/>
              <w:bottom w:val="single" w:color="auto" w:sz="4" w:space="0"/>
              <w:right w:val="single" w:color="auto" w:sz="4" w:space="0"/>
            </w:tcBorders>
            <w:shd w:val="clear" w:color="auto" w:fill="auto"/>
            <w:noWrap/>
            <w:vAlign w:val="center"/>
          </w:tcPr>
          <w:p w14:paraId="7AD89776">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3</w:t>
            </w:r>
          </w:p>
        </w:tc>
        <w:tc>
          <w:tcPr>
            <w:tcW w:w="2978" w:type="dxa"/>
            <w:vMerge w:val="continue"/>
            <w:tcBorders>
              <w:top w:val="nil"/>
              <w:left w:val="single" w:color="auto" w:sz="4" w:space="0"/>
              <w:bottom w:val="single" w:color="auto" w:sz="4" w:space="0"/>
              <w:right w:val="single" w:color="auto" w:sz="4" w:space="0"/>
            </w:tcBorders>
            <w:vAlign w:val="center"/>
          </w:tcPr>
          <w:p w14:paraId="62378340">
            <w:pPr>
              <w:widowControl/>
              <w:jc w:val="left"/>
              <w:rPr>
                <w:rFonts w:hint="eastAsia" w:ascii="仿宋_GB2312" w:hAnsi="等线" w:eastAsia="仿宋_GB2312" w:cs="宋体"/>
                <w:color w:val="000000"/>
                <w:kern w:val="0"/>
                <w:szCs w:val="21"/>
              </w:rPr>
            </w:pPr>
          </w:p>
        </w:tc>
      </w:tr>
      <w:tr w14:paraId="5C5BC033">
        <w:tblPrEx>
          <w:tblCellMar>
            <w:top w:w="0" w:type="dxa"/>
            <w:left w:w="108" w:type="dxa"/>
            <w:bottom w:w="0" w:type="dxa"/>
            <w:right w:w="108" w:type="dxa"/>
          </w:tblCellMar>
        </w:tblPrEx>
        <w:trPr>
          <w:trHeight w:val="400" w:hRule="atLeast"/>
          <w:jc w:val="center"/>
        </w:trPr>
        <w:tc>
          <w:tcPr>
            <w:tcW w:w="653" w:type="dxa"/>
            <w:vMerge w:val="continue"/>
            <w:tcBorders>
              <w:top w:val="nil"/>
              <w:left w:val="single" w:color="auto" w:sz="4" w:space="0"/>
              <w:bottom w:val="single" w:color="auto" w:sz="4" w:space="0"/>
              <w:right w:val="single" w:color="auto" w:sz="4" w:space="0"/>
            </w:tcBorders>
            <w:vAlign w:val="center"/>
          </w:tcPr>
          <w:p w14:paraId="1EC59AF5">
            <w:pPr>
              <w:widowControl/>
              <w:jc w:val="left"/>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vAlign w:val="center"/>
          </w:tcPr>
          <w:p w14:paraId="1DD67B81">
            <w:pPr>
              <w:widowControl/>
              <w:jc w:val="left"/>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484CB6D0">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8月23日</w:t>
            </w:r>
          </w:p>
        </w:tc>
        <w:tc>
          <w:tcPr>
            <w:tcW w:w="1077" w:type="dxa"/>
            <w:tcBorders>
              <w:top w:val="nil"/>
              <w:left w:val="nil"/>
              <w:bottom w:val="single" w:color="auto" w:sz="4" w:space="0"/>
              <w:right w:val="single" w:color="auto" w:sz="4" w:space="0"/>
            </w:tcBorders>
            <w:shd w:val="clear" w:color="auto" w:fill="auto"/>
            <w:vAlign w:val="center"/>
          </w:tcPr>
          <w:p w14:paraId="420E372F">
            <w:pPr>
              <w:widowControl/>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线上会议</w:t>
            </w:r>
          </w:p>
        </w:tc>
        <w:tc>
          <w:tcPr>
            <w:tcW w:w="5533" w:type="dxa"/>
            <w:tcBorders>
              <w:top w:val="nil"/>
              <w:left w:val="nil"/>
              <w:bottom w:val="single" w:color="auto" w:sz="4" w:space="0"/>
              <w:right w:val="single" w:color="auto" w:sz="4" w:space="0"/>
            </w:tcBorders>
            <w:shd w:val="clear" w:color="auto" w:fill="auto"/>
            <w:vAlign w:val="center"/>
          </w:tcPr>
          <w:p w14:paraId="3667D5F3">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华北地区非寿险精算讲堂第27讲（2024年度）</w:t>
            </w:r>
          </w:p>
        </w:tc>
        <w:tc>
          <w:tcPr>
            <w:tcW w:w="645" w:type="dxa"/>
            <w:tcBorders>
              <w:top w:val="nil"/>
              <w:left w:val="nil"/>
              <w:bottom w:val="single" w:color="auto" w:sz="4" w:space="0"/>
              <w:right w:val="single" w:color="auto" w:sz="4" w:space="0"/>
            </w:tcBorders>
            <w:shd w:val="clear" w:color="auto" w:fill="auto"/>
            <w:noWrap/>
            <w:vAlign w:val="center"/>
          </w:tcPr>
          <w:p w14:paraId="488796E1">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3</w:t>
            </w:r>
          </w:p>
        </w:tc>
        <w:tc>
          <w:tcPr>
            <w:tcW w:w="2978" w:type="dxa"/>
            <w:vMerge w:val="continue"/>
            <w:tcBorders>
              <w:top w:val="nil"/>
              <w:left w:val="single" w:color="auto" w:sz="4" w:space="0"/>
              <w:bottom w:val="single" w:color="auto" w:sz="4" w:space="0"/>
              <w:right w:val="single" w:color="auto" w:sz="4" w:space="0"/>
            </w:tcBorders>
            <w:vAlign w:val="center"/>
          </w:tcPr>
          <w:p w14:paraId="14B41A25">
            <w:pPr>
              <w:widowControl/>
              <w:jc w:val="left"/>
              <w:rPr>
                <w:rFonts w:hint="eastAsia" w:ascii="仿宋_GB2312" w:hAnsi="等线" w:eastAsia="仿宋_GB2312" w:cs="宋体"/>
                <w:color w:val="000000"/>
                <w:kern w:val="0"/>
                <w:szCs w:val="21"/>
              </w:rPr>
            </w:pPr>
          </w:p>
        </w:tc>
      </w:tr>
      <w:tr w14:paraId="36399D4D">
        <w:tblPrEx>
          <w:tblCellMar>
            <w:top w:w="0" w:type="dxa"/>
            <w:left w:w="108" w:type="dxa"/>
            <w:bottom w:w="0" w:type="dxa"/>
            <w:right w:w="108" w:type="dxa"/>
          </w:tblCellMar>
        </w:tblPrEx>
        <w:trPr>
          <w:trHeight w:val="400" w:hRule="atLeast"/>
          <w:jc w:val="center"/>
        </w:trPr>
        <w:tc>
          <w:tcPr>
            <w:tcW w:w="653" w:type="dxa"/>
            <w:vMerge w:val="continue"/>
            <w:tcBorders>
              <w:top w:val="nil"/>
              <w:left w:val="single" w:color="auto" w:sz="4" w:space="0"/>
              <w:bottom w:val="single" w:color="auto" w:sz="4" w:space="0"/>
              <w:right w:val="single" w:color="auto" w:sz="4" w:space="0"/>
            </w:tcBorders>
            <w:vAlign w:val="center"/>
          </w:tcPr>
          <w:p w14:paraId="46E95EA9">
            <w:pPr>
              <w:widowControl/>
              <w:jc w:val="left"/>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vAlign w:val="center"/>
          </w:tcPr>
          <w:p w14:paraId="01E15616">
            <w:pPr>
              <w:widowControl/>
              <w:jc w:val="left"/>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3CB0318E">
            <w:pPr>
              <w:widowControl/>
              <w:jc w:val="center"/>
              <w:textAlignment w:val="center"/>
              <w:rPr>
                <w:rFonts w:hint="eastAsia" w:ascii="仿宋_GB2312" w:hAnsi="宋体" w:eastAsia="仿宋_GB2312" w:cs="宋体"/>
                <w:color w:val="000000"/>
                <w:kern w:val="0"/>
                <w:szCs w:val="21"/>
                <w:lang w:bidi="ar"/>
              </w:rPr>
            </w:pPr>
            <w:r>
              <w:rPr>
                <w:rFonts w:hint="eastAsia" w:ascii="仿宋_GB2312" w:hAnsi="宋体" w:eastAsia="仿宋_GB2312" w:cs="宋体"/>
                <w:color w:val="000000"/>
                <w:kern w:val="0"/>
                <w:szCs w:val="21"/>
                <w:lang w:bidi="ar"/>
              </w:rPr>
              <w:t>8月27日</w:t>
            </w:r>
          </w:p>
        </w:tc>
        <w:tc>
          <w:tcPr>
            <w:tcW w:w="1077" w:type="dxa"/>
            <w:tcBorders>
              <w:top w:val="nil"/>
              <w:left w:val="nil"/>
              <w:bottom w:val="single" w:color="auto" w:sz="4" w:space="0"/>
              <w:right w:val="single" w:color="auto" w:sz="4" w:space="0"/>
            </w:tcBorders>
            <w:shd w:val="clear" w:color="auto" w:fill="auto"/>
            <w:vAlign w:val="center"/>
          </w:tcPr>
          <w:p w14:paraId="4E69EAD5">
            <w:pPr>
              <w:widowControl/>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现场会议</w:t>
            </w:r>
          </w:p>
        </w:tc>
        <w:tc>
          <w:tcPr>
            <w:tcW w:w="5533" w:type="dxa"/>
            <w:tcBorders>
              <w:top w:val="nil"/>
              <w:left w:val="nil"/>
              <w:bottom w:val="single" w:color="auto" w:sz="4" w:space="0"/>
              <w:right w:val="single" w:color="auto" w:sz="4" w:space="0"/>
            </w:tcBorders>
            <w:shd w:val="clear" w:color="auto" w:fill="auto"/>
            <w:vAlign w:val="center"/>
          </w:tcPr>
          <w:p w14:paraId="5062BA7B">
            <w:pPr>
              <w:widowControl/>
              <w:jc w:val="center"/>
              <w:textAlignment w:val="center"/>
              <w:rPr>
                <w:rFonts w:hint="eastAsia" w:ascii="仿宋_GB2312" w:hAnsi="宋体" w:eastAsia="仿宋_GB2312" w:cs="宋体"/>
                <w:color w:val="000000"/>
                <w:kern w:val="0"/>
                <w:szCs w:val="21"/>
                <w:lang w:bidi="ar"/>
              </w:rPr>
            </w:pPr>
            <w:r>
              <w:rPr>
                <w:rFonts w:hint="eastAsia" w:ascii="仿宋_GB2312" w:hAnsi="宋体" w:eastAsia="仿宋_GB2312" w:cs="宋体"/>
                <w:color w:val="000000"/>
                <w:kern w:val="0"/>
                <w:szCs w:val="21"/>
                <w:lang w:bidi="ar"/>
              </w:rPr>
              <w:t>华东地区非寿险精算讲堂第36讲（2024年度）</w:t>
            </w:r>
          </w:p>
        </w:tc>
        <w:tc>
          <w:tcPr>
            <w:tcW w:w="645" w:type="dxa"/>
            <w:tcBorders>
              <w:top w:val="nil"/>
              <w:left w:val="nil"/>
              <w:bottom w:val="single" w:color="auto" w:sz="4" w:space="0"/>
              <w:right w:val="single" w:color="auto" w:sz="4" w:space="0"/>
            </w:tcBorders>
            <w:shd w:val="clear" w:color="auto" w:fill="auto"/>
            <w:noWrap/>
            <w:vAlign w:val="center"/>
          </w:tcPr>
          <w:p w14:paraId="7698D6FF">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4</w:t>
            </w:r>
          </w:p>
        </w:tc>
        <w:tc>
          <w:tcPr>
            <w:tcW w:w="2978" w:type="dxa"/>
            <w:vMerge w:val="continue"/>
            <w:tcBorders>
              <w:top w:val="nil"/>
              <w:left w:val="single" w:color="auto" w:sz="4" w:space="0"/>
              <w:bottom w:val="single" w:color="auto" w:sz="4" w:space="0"/>
              <w:right w:val="single" w:color="auto" w:sz="4" w:space="0"/>
            </w:tcBorders>
            <w:vAlign w:val="center"/>
          </w:tcPr>
          <w:p w14:paraId="607CFE6E">
            <w:pPr>
              <w:widowControl/>
              <w:jc w:val="left"/>
              <w:rPr>
                <w:rFonts w:hint="eastAsia" w:ascii="仿宋_GB2312" w:hAnsi="等线" w:eastAsia="仿宋_GB2312" w:cs="宋体"/>
                <w:color w:val="000000"/>
                <w:kern w:val="0"/>
                <w:szCs w:val="21"/>
              </w:rPr>
            </w:pPr>
          </w:p>
        </w:tc>
      </w:tr>
      <w:tr w14:paraId="08448C2E">
        <w:tblPrEx>
          <w:tblCellMar>
            <w:top w:w="0" w:type="dxa"/>
            <w:left w:w="108" w:type="dxa"/>
            <w:bottom w:w="0" w:type="dxa"/>
            <w:right w:w="108" w:type="dxa"/>
          </w:tblCellMar>
        </w:tblPrEx>
        <w:trPr>
          <w:trHeight w:val="400" w:hRule="atLeast"/>
          <w:jc w:val="center"/>
        </w:trPr>
        <w:tc>
          <w:tcPr>
            <w:tcW w:w="653" w:type="dxa"/>
            <w:vMerge w:val="continue"/>
            <w:tcBorders>
              <w:top w:val="nil"/>
              <w:left w:val="single" w:color="auto" w:sz="4" w:space="0"/>
              <w:bottom w:val="single" w:color="auto" w:sz="4" w:space="0"/>
              <w:right w:val="single" w:color="auto" w:sz="4" w:space="0"/>
            </w:tcBorders>
            <w:vAlign w:val="center"/>
          </w:tcPr>
          <w:p w14:paraId="5B54568E">
            <w:pPr>
              <w:widowControl/>
              <w:jc w:val="left"/>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vAlign w:val="center"/>
          </w:tcPr>
          <w:p w14:paraId="4D897FA5">
            <w:pPr>
              <w:widowControl/>
              <w:jc w:val="left"/>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2EF2B2A9">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9月14日</w:t>
            </w:r>
          </w:p>
        </w:tc>
        <w:tc>
          <w:tcPr>
            <w:tcW w:w="1077" w:type="dxa"/>
            <w:tcBorders>
              <w:top w:val="nil"/>
              <w:left w:val="nil"/>
              <w:bottom w:val="single" w:color="auto" w:sz="4" w:space="0"/>
              <w:right w:val="single" w:color="auto" w:sz="4" w:space="0"/>
            </w:tcBorders>
            <w:shd w:val="clear" w:color="auto" w:fill="auto"/>
            <w:vAlign w:val="center"/>
          </w:tcPr>
          <w:p w14:paraId="2FBCCF71">
            <w:pPr>
              <w:widowControl/>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现场会议</w:t>
            </w:r>
          </w:p>
        </w:tc>
        <w:tc>
          <w:tcPr>
            <w:tcW w:w="5533" w:type="dxa"/>
            <w:tcBorders>
              <w:top w:val="nil"/>
              <w:left w:val="nil"/>
              <w:bottom w:val="single" w:color="auto" w:sz="4" w:space="0"/>
              <w:right w:val="single" w:color="auto" w:sz="4" w:space="0"/>
            </w:tcBorders>
            <w:shd w:val="clear" w:color="auto" w:fill="auto"/>
            <w:vAlign w:val="center"/>
          </w:tcPr>
          <w:p w14:paraId="796EF7EA">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华北地区寿险精算讲堂第16讲（2024年度）</w:t>
            </w:r>
          </w:p>
        </w:tc>
        <w:tc>
          <w:tcPr>
            <w:tcW w:w="645" w:type="dxa"/>
            <w:tcBorders>
              <w:top w:val="nil"/>
              <w:left w:val="nil"/>
              <w:bottom w:val="single" w:color="auto" w:sz="4" w:space="0"/>
              <w:right w:val="single" w:color="auto" w:sz="4" w:space="0"/>
            </w:tcBorders>
            <w:shd w:val="clear" w:color="auto" w:fill="auto"/>
            <w:noWrap/>
            <w:vAlign w:val="center"/>
          </w:tcPr>
          <w:p w14:paraId="3129D25B">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4</w:t>
            </w:r>
          </w:p>
        </w:tc>
        <w:tc>
          <w:tcPr>
            <w:tcW w:w="2978" w:type="dxa"/>
            <w:vMerge w:val="continue"/>
            <w:tcBorders>
              <w:top w:val="nil"/>
              <w:left w:val="single" w:color="auto" w:sz="4" w:space="0"/>
              <w:bottom w:val="single" w:color="auto" w:sz="4" w:space="0"/>
              <w:right w:val="single" w:color="auto" w:sz="4" w:space="0"/>
            </w:tcBorders>
            <w:vAlign w:val="center"/>
          </w:tcPr>
          <w:p w14:paraId="2C77BAC3">
            <w:pPr>
              <w:widowControl/>
              <w:jc w:val="left"/>
              <w:rPr>
                <w:rFonts w:hint="eastAsia" w:ascii="仿宋_GB2312" w:hAnsi="等线" w:eastAsia="仿宋_GB2312" w:cs="宋体"/>
                <w:color w:val="000000"/>
                <w:kern w:val="0"/>
                <w:szCs w:val="21"/>
              </w:rPr>
            </w:pPr>
          </w:p>
        </w:tc>
      </w:tr>
      <w:tr w14:paraId="3FFD9DF7">
        <w:tblPrEx>
          <w:tblCellMar>
            <w:top w:w="0" w:type="dxa"/>
            <w:left w:w="108" w:type="dxa"/>
            <w:bottom w:w="0" w:type="dxa"/>
            <w:right w:w="108" w:type="dxa"/>
          </w:tblCellMar>
        </w:tblPrEx>
        <w:trPr>
          <w:trHeight w:val="400" w:hRule="atLeast"/>
          <w:jc w:val="center"/>
        </w:trPr>
        <w:tc>
          <w:tcPr>
            <w:tcW w:w="653" w:type="dxa"/>
            <w:vMerge w:val="continue"/>
            <w:tcBorders>
              <w:top w:val="nil"/>
              <w:left w:val="single" w:color="auto" w:sz="4" w:space="0"/>
              <w:bottom w:val="single" w:color="auto" w:sz="4" w:space="0"/>
              <w:right w:val="single" w:color="auto" w:sz="4" w:space="0"/>
            </w:tcBorders>
            <w:vAlign w:val="center"/>
          </w:tcPr>
          <w:p w14:paraId="48C2832C">
            <w:pPr>
              <w:widowControl/>
              <w:jc w:val="left"/>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vAlign w:val="center"/>
          </w:tcPr>
          <w:p w14:paraId="692F0D3E">
            <w:pPr>
              <w:widowControl/>
              <w:jc w:val="left"/>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4D1BF0B2">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9月18日</w:t>
            </w:r>
          </w:p>
        </w:tc>
        <w:tc>
          <w:tcPr>
            <w:tcW w:w="1077" w:type="dxa"/>
            <w:tcBorders>
              <w:top w:val="nil"/>
              <w:left w:val="nil"/>
              <w:bottom w:val="single" w:color="auto" w:sz="4" w:space="0"/>
              <w:right w:val="single" w:color="auto" w:sz="4" w:space="0"/>
            </w:tcBorders>
            <w:shd w:val="clear" w:color="auto" w:fill="auto"/>
            <w:vAlign w:val="center"/>
          </w:tcPr>
          <w:p w14:paraId="43EDA917">
            <w:pPr>
              <w:widowControl/>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现场会议</w:t>
            </w:r>
          </w:p>
        </w:tc>
        <w:tc>
          <w:tcPr>
            <w:tcW w:w="5533" w:type="dxa"/>
            <w:tcBorders>
              <w:top w:val="nil"/>
              <w:left w:val="nil"/>
              <w:bottom w:val="single" w:color="auto" w:sz="4" w:space="0"/>
              <w:right w:val="single" w:color="auto" w:sz="4" w:space="0"/>
            </w:tcBorders>
            <w:shd w:val="clear" w:color="auto" w:fill="auto"/>
            <w:vAlign w:val="center"/>
          </w:tcPr>
          <w:p w14:paraId="0F7CBBB0">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华北地区非寿险精算讲堂第28讲（2024年度）</w:t>
            </w:r>
          </w:p>
        </w:tc>
        <w:tc>
          <w:tcPr>
            <w:tcW w:w="645" w:type="dxa"/>
            <w:tcBorders>
              <w:top w:val="nil"/>
              <w:left w:val="nil"/>
              <w:bottom w:val="single" w:color="auto" w:sz="4" w:space="0"/>
              <w:right w:val="single" w:color="auto" w:sz="4" w:space="0"/>
            </w:tcBorders>
            <w:shd w:val="clear" w:color="auto" w:fill="auto"/>
            <w:noWrap/>
            <w:vAlign w:val="center"/>
          </w:tcPr>
          <w:p w14:paraId="3F390ABB">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4</w:t>
            </w:r>
          </w:p>
        </w:tc>
        <w:tc>
          <w:tcPr>
            <w:tcW w:w="2978" w:type="dxa"/>
            <w:vMerge w:val="continue"/>
            <w:tcBorders>
              <w:top w:val="nil"/>
              <w:left w:val="single" w:color="auto" w:sz="4" w:space="0"/>
              <w:bottom w:val="single" w:color="auto" w:sz="4" w:space="0"/>
              <w:right w:val="single" w:color="auto" w:sz="4" w:space="0"/>
            </w:tcBorders>
            <w:vAlign w:val="center"/>
          </w:tcPr>
          <w:p w14:paraId="0A5D7FD4">
            <w:pPr>
              <w:widowControl/>
              <w:jc w:val="left"/>
              <w:rPr>
                <w:rFonts w:hint="eastAsia" w:ascii="仿宋_GB2312" w:hAnsi="等线" w:eastAsia="仿宋_GB2312" w:cs="宋体"/>
                <w:color w:val="000000"/>
                <w:kern w:val="0"/>
                <w:szCs w:val="21"/>
              </w:rPr>
            </w:pPr>
          </w:p>
        </w:tc>
      </w:tr>
      <w:tr w14:paraId="33F0DB2E">
        <w:tblPrEx>
          <w:tblCellMar>
            <w:top w:w="0" w:type="dxa"/>
            <w:left w:w="108" w:type="dxa"/>
            <w:bottom w:w="0" w:type="dxa"/>
            <w:right w:w="108" w:type="dxa"/>
          </w:tblCellMar>
        </w:tblPrEx>
        <w:trPr>
          <w:trHeight w:val="278" w:hRule="atLeast"/>
          <w:jc w:val="center"/>
        </w:trPr>
        <w:tc>
          <w:tcPr>
            <w:tcW w:w="653" w:type="dxa"/>
            <w:vMerge w:val="continue"/>
            <w:tcBorders>
              <w:top w:val="nil"/>
              <w:left w:val="single" w:color="auto" w:sz="4" w:space="0"/>
              <w:bottom w:val="single" w:color="auto" w:sz="4" w:space="0"/>
              <w:right w:val="single" w:color="auto" w:sz="4" w:space="0"/>
            </w:tcBorders>
            <w:vAlign w:val="center"/>
          </w:tcPr>
          <w:p w14:paraId="7FA1DE2D">
            <w:pPr>
              <w:widowControl/>
              <w:jc w:val="left"/>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vAlign w:val="center"/>
          </w:tcPr>
          <w:p w14:paraId="7FD54F31">
            <w:pPr>
              <w:widowControl/>
              <w:jc w:val="left"/>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354C0BE7">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9月27日</w:t>
            </w:r>
          </w:p>
        </w:tc>
        <w:tc>
          <w:tcPr>
            <w:tcW w:w="1077" w:type="dxa"/>
            <w:tcBorders>
              <w:top w:val="nil"/>
              <w:left w:val="nil"/>
              <w:bottom w:val="single" w:color="auto" w:sz="4" w:space="0"/>
              <w:right w:val="single" w:color="auto" w:sz="4" w:space="0"/>
            </w:tcBorders>
            <w:shd w:val="clear" w:color="auto" w:fill="auto"/>
            <w:vAlign w:val="center"/>
          </w:tcPr>
          <w:p w14:paraId="4171758F">
            <w:pPr>
              <w:widowControl/>
              <w:rPr>
                <w:rFonts w:hint="eastAsia" w:ascii="仿宋_GB2312" w:hAnsi="等线" w:eastAsia="仿宋_GB2312" w:cs="宋体"/>
                <w:color w:val="000000"/>
                <w:kern w:val="0"/>
                <w:szCs w:val="21"/>
              </w:rPr>
            </w:pPr>
            <w:bookmarkStart w:id="1" w:name="OLE_LINK2"/>
            <w:r>
              <w:rPr>
                <w:rFonts w:hint="eastAsia" w:ascii="仿宋_GB2312" w:hAnsi="等线" w:eastAsia="仿宋_GB2312" w:cs="宋体"/>
                <w:color w:val="000000"/>
                <w:kern w:val="0"/>
                <w:szCs w:val="21"/>
              </w:rPr>
              <w:t>线上线下相结合</w:t>
            </w:r>
            <w:bookmarkEnd w:id="1"/>
          </w:p>
        </w:tc>
        <w:tc>
          <w:tcPr>
            <w:tcW w:w="5533" w:type="dxa"/>
            <w:tcBorders>
              <w:top w:val="nil"/>
              <w:left w:val="nil"/>
              <w:bottom w:val="single" w:color="auto" w:sz="4" w:space="0"/>
              <w:right w:val="single" w:color="auto" w:sz="4" w:space="0"/>
            </w:tcBorders>
            <w:shd w:val="clear" w:color="auto" w:fill="auto"/>
            <w:vAlign w:val="center"/>
          </w:tcPr>
          <w:p w14:paraId="38B7C438">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华南地区非寿险精算讲堂第23讲（2024年度）</w:t>
            </w:r>
          </w:p>
        </w:tc>
        <w:tc>
          <w:tcPr>
            <w:tcW w:w="645" w:type="dxa"/>
            <w:tcBorders>
              <w:top w:val="nil"/>
              <w:left w:val="nil"/>
              <w:bottom w:val="single" w:color="auto" w:sz="4" w:space="0"/>
              <w:right w:val="single" w:color="auto" w:sz="4" w:space="0"/>
            </w:tcBorders>
            <w:shd w:val="clear" w:color="auto" w:fill="auto"/>
            <w:noWrap/>
            <w:vAlign w:val="center"/>
          </w:tcPr>
          <w:p w14:paraId="7CEF66F1">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3</w:t>
            </w:r>
          </w:p>
        </w:tc>
        <w:tc>
          <w:tcPr>
            <w:tcW w:w="2978" w:type="dxa"/>
            <w:vMerge w:val="continue"/>
            <w:tcBorders>
              <w:top w:val="nil"/>
              <w:left w:val="single" w:color="auto" w:sz="4" w:space="0"/>
              <w:bottom w:val="single" w:color="auto" w:sz="4" w:space="0"/>
              <w:right w:val="single" w:color="auto" w:sz="4" w:space="0"/>
            </w:tcBorders>
            <w:vAlign w:val="center"/>
          </w:tcPr>
          <w:p w14:paraId="074D1A26">
            <w:pPr>
              <w:widowControl/>
              <w:jc w:val="left"/>
              <w:rPr>
                <w:rFonts w:hint="eastAsia" w:ascii="仿宋_GB2312" w:hAnsi="等线" w:eastAsia="仿宋_GB2312" w:cs="宋体"/>
                <w:color w:val="000000"/>
                <w:kern w:val="0"/>
                <w:szCs w:val="21"/>
              </w:rPr>
            </w:pPr>
          </w:p>
        </w:tc>
      </w:tr>
      <w:tr w14:paraId="5459E665">
        <w:tblPrEx>
          <w:tblCellMar>
            <w:top w:w="0" w:type="dxa"/>
            <w:left w:w="108" w:type="dxa"/>
            <w:bottom w:w="0" w:type="dxa"/>
            <w:right w:w="108" w:type="dxa"/>
          </w:tblCellMar>
        </w:tblPrEx>
        <w:trPr>
          <w:trHeight w:val="278" w:hRule="atLeast"/>
          <w:jc w:val="center"/>
        </w:trPr>
        <w:tc>
          <w:tcPr>
            <w:tcW w:w="653" w:type="dxa"/>
            <w:vMerge w:val="continue"/>
            <w:tcBorders>
              <w:top w:val="nil"/>
              <w:left w:val="single" w:color="auto" w:sz="4" w:space="0"/>
              <w:bottom w:val="single" w:color="auto" w:sz="4" w:space="0"/>
              <w:right w:val="single" w:color="auto" w:sz="4" w:space="0"/>
            </w:tcBorders>
            <w:vAlign w:val="center"/>
          </w:tcPr>
          <w:p w14:paraId="3A15301B">
            <w:pPr>
              <w:widowControl/>
              <w:jc w:val="left"/>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vAlign w:val="center"/>
          </w:tcPr>
          <w:p w14:paraId="59E33EB8">
            <w:pPr>
              <w:widowControl/>
              <w:jc w:val="left"/>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7DE9FA8C">
            <w:pPr>
              <w:widowControl/>
              <w:jc w:val="center"/>
              <w:textAlignment w:val="center"/>
              <w:rPr>
                <w:rFonts w:hint="eastAsia" w:ascii="仿宋_GB2312" w:hAnsi="宋体" w:eastAsia="仿宋_GB2312" w:cs="宋体"/>
                <w:color w:val="000000"/>
                <w:kern w:val="0"/>
                <w:szCs w:val="21"/>
                <w:lang w:bidi="ar"/>
              </w:rPr>
            </w:pPr>
            <w:r>
              <w:rPr>
                <w:rFonts w:hint="eastAsia" w:ascii="仿宋_GB2312" w:hAnsi="宋体" w:eastAsia="仿宋_GB2312" w:cs="宋体"/>
                <w:color w:val="000000"/>
                <w:kern w:val="0"/>
                <w:szCs w:val="21"/>
                <w:lang w:bidi="ar"/>
              </w:rPr>
              <w:t>10月11日</w:t>
            </w:r>
          </w:p>
        </w:tc>
        <w:tc>
          <w:tcPr>
            <w:tcW w:w="1077" w:type="dxa"/>
            <w:tcBorders>
              <w:top w:val="nil"/>
              <w:left w:val="nil"/>
              <w:bottom w:val="single" w:color="auto" w:sz="4" w:space="0"/>
              <w:right w:val="single" w:color="auto" w:sz="4" w:space="0"/>
            </w:tcBorders>
            <w:shd w:val="clear" w:color="auto" w:fill="auto"/>
            <w:vAlign w:val="center"/>
          </w:tcPr>
          <w:p w14:paraId="143DC7AB">
            <w:pPr>
              <w:widowControl/>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线上会议</w:t>
            </w:r>
          </w:p>
        </w:tc>
        <w:tc>
          <w:tcPr>
            <w:tcW w:w="5533" w:type="dxa"/>
            <w:tcBorders>
              <w:top w:val="nil"/>
              <w:left w:val="nil"/>
              <w:bottom w:val="single" w:color="auto" w:sz="4" w:space="0"/>
              <w:right w:val="single" w:color="auto" w:sz="4" w:space="0"/>
            </w:tcBorders>
            <w:shd w:val="clear" w:color="auto" w:fill="auto"/>
            <w:vAlign w:val="center"/>
          </w:tcPr>
          <w:p w14:paraId="2121B9DF">
            <w:pPr>
              <w:widowControl/>
              <w:jc w:val="center"/>
              <w:textAlignment w:val="center"/>
              <w:rPr>
                <w:rFonts w:hint="eastAsia" w:ascii="仿宋_GB2312" w:hAnsi="宋体" w:eastAsia="仿宋_GB2312" w:cs="宋体"/>
                <w:color w:val="000000"/>
                <w:kern w:val="0"/>
                <w:szCs w:val="21"/>
                <w:lang w:bidi="ar"/>
              </w:rPr>
            </w:pPr>
            <w:r>
              <w:rPr>
                <w:rFonts w:hint="eastAsia" w:ascii="仿宋_GB2312" w:hAnsi="宋体" w:eastAsia="仿宋_GB2312" w:cs="宋体"/>
                <w:color w:val="000000"/>
                <w:kern w:val="0"/>
                <w:szCs w:val="21"/>
                <w:lang w:bidi="ar"/>
              </w:rPr>
              <w:t>中国精算师协会与北美精算学会联合网络系列培训课程</w:t>
            </w:r>
          </w:p>
        </w:tc>
        <w:tc>
          <w:tcPr>
            <w:tcW w:w="645" w:type="dxa"/>
            <w:tcBorders>
              <w:top w:val="nil"/>
              <w:left w:val="nil"/>
              <w:bottom w:val="single" w:color="auto" w:sz="4" w:space="0"/>
              <w:right w:val="single" w:color="auto" w:sz="4" w:space="0"/>
            </w:tcBorders>
            <w:shd w:val="clear" w:color="auto" w:fill="auto"/>
            <w:noWrap/>
            <w:vAlign w:val="center"/>
          </w:tcPr>
          <w:p w14:paraId="25E4762E">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3</w:t>
            </w:r>
          </w:p>
        </w:tc>
        <w:tc>
          <w:tcPr>
            <w:tcW w:w="2978" w:type="dxa"/>
            <w:vMerge w:val="continue"/>
            <w:tcBorders>
              <w:top w:val="nil"/>
              <w:left w:val="single" w:color="auto" w:sz="4" w:space="0"/>
              <w:bottom w:val="single" w:color="auto" w:sz="4" w:space="0"/>
              <w:right w:val="single" w:color="auto" w:sz="4" w:space="0"/>
            </w:tcBorders>
            <w:vAlign w:val="center"/>
          </w:tcPr>
          <w:p w14:paraId="48969834">
            <w:pPr>
              <w:widowControl/>
              <w:jc w:val="left"/>
              <w:rPr>
                <w:rFonts w:hint="eastAsia" w:ascii="仿宋_GB2312" w:hAnsi="等线" w:eastAsia="仿宋_GB2312" w:cs="宋体"/>
                <w:color w:val="000000"/>
                <w:kern w:val="0"/>
                <w:szCs w:val="21"/>
              </w:rPr>
            </w:pPr>
          </w:p>
        </w:tc>
      </w:tr>
      <w:tr w14:paraId="63E873B6">
        <w:tblPrEx>
          <w:tblCellMar>
            <w:top w:w="0" w:type="dxa"/>
            <w:left w:w="108" w:type="dxa"/>
            <w:bottom w:w="0" w:type="dxa"/>
            <w:right w:w="108" w:type="dxa"/>
          </w:tblCellMar>
        </w:tblPrEx>
        <w:trPr>
          <w:trHeight w:val="278" w:hRule="atLeast"/>
          <w:jc w:val="center"/>
        </w:trPr>
        <w:tc>
          <w:tcPr>
            <w:tcW w:w="653" w:type="dxa"/>
            <w:vMerge w:val="continue"/>
            <w:tcBorders>
              <w:top w:val="nil"/>
              <w:left w:val="single" w:color="auto" w:sz="4" w:space="0"/>
              <w:bottom w:val="single" w:color="auto" w:sz="4" w:space="0"/>
              <w:right w:val="single" w:color="auto" w:sz="4" w:space="0"/>
            </w:tcBorders>
            <w:vAlign w:val="center"/>
          </w:tcPr>
          <w:p w14:paraId="17E892ED">
            <w:pPr>
              <w:widowControl/>
              <w:jc w:val="left"/>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vAlign w:val="center"/>
          </w:tcPr>
          <w:p w14:paraId="50594698">
            <w:pPr>
              <w:widowControl/>
              <w:jc w:val="left"/>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0BF60D6A">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10月18日</w:t>
            </w:r>
          </w:p>
        </w:tc>
        <w:tc>
          <w:tcPr>
            <w:tcW w:w="1077" w:type="dxa"/>
            <w:tcBorders>
              <w:top w:val="nil"/>
              <w:left w:val="nil"/>
              <w:bottom w:val="single" w:color="auto" w:sz="4" w:space="0"/>
              <w:right w:val="single" w:color="auto" w:sz="4" w:space="0"/>
            </w:tcBorders>
            <w:shd w:val="clear" w:color="auto" w:fill="auto"/>
            <w:vAlign w:val="center"/>
          </w:tcPr>
          <w:p w14:paraId="796D46F7">
            <w:pPr>
              <w:widowControl/>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现场会议</w:t>
            </w:r>
          </w:p>
        </w:tc>
        <w:tc>
          <w:tcPr>
            <w:tcW w:w="5533" w:type="dxa"/>
            <w:tcBorders>
              <w:top w:val="nil"/>
              <w:left w:val="nil"/>
              <w:bottom w:val="single" w:color="auto" w:sz="4" w:space="0"/>
              <w:right w:val="single" w:color="auto" w:sz="4" w:space="0"/>
            </w:tcBorders>
            <w:shd w:val="clear" w:color="auto" w:fill="auto"/>
            <w:vAlign w:val="center"/>
          </w:tcPr>
          <w:p w14:paraId="7048590E">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中国精算师协会自律提升年工作会议暨职业道德培训会</w:t>
            </w:r>
          </w:p>
        </w:tc>
        <w:tc>
          <w:tcPr>
            <w:tcW w:w="645" w:type="dxa"/>
            <w:tcBorders>
              <w:top w:val="nil"/>
              <w:left w:val="nil"/>
              <w:bottom w:val="single" w:color="auto" w:sz="4" w:space="0"/>
              <w:right w:val="single" w:color="auto" w:sz="4" w:space="0"/>
            </w:tcBorders>
            <w:shd w:val="clear" w:color="auto" w:fill="auto"/>
            <w:noWrap/>
            <w:vAlign w:val="center"/>
          </w:tcPr>
          <w:p w14:paraId="228D5A82">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3</w:t>
            </w:r>
          </w:p>
        </w:tc>
        <w:tc>
          <w:tcPr>
            <w:tcW w:w="2978" w:type="dxa"/>
            <w:vMerge w:val="continue"/>
            <w:tcBorders>
              <w:top w:val="nil"/>
              <w:left w:val="single" w:color="auto" w:sz="4" w:space="0"/>
              <w:bottom w:val="single" w:color="auto" w:sz="4" w:space="0"/>
              <w:right w:val="single" w:color="auto" w:sz="4" w:space="0"/>
            </w:tcBorders>
            <w:vAlign w:val="center"/>
          </w:tcPr>
          <w:p w14:paraId="23D600C6">
            <w:pPr>
              <w:widowControl/>
              <w:jc w:val="left"/>
              <w:rPr>
                <w:rFonts w:hint="eastAsia" w:ascii="仿宋_GB2312" w:hAnsi="等线" w:eastAsia="仿宋_GB2312" w:cs="宋体"/>
                <w:color w:val="000000"/>
                <w:kern w:val="0"/>
                <w:szCs w:val="21"/>
              </w:rPr>
            </w:pPr>
          </w:p>
        </w:tc>
      </w:tr>
      <w:tr w14:paraId="612DC81E">
        <w:tblPrEx>
          <w:tblCellMar>
            <w:top w:w="0" w:type="dxa"/>
            <w:left w:w="108" w:type="dxa"/>
            <w:bottom w:w="0" w:type="dxa"/>
            <w:right w:w="108" w:type="dxa"/>
          </w:tblCellMar>
        </w:tblPrEx>
        <w:trPr>
          <w:trHeight w:val="400" w:hRule="atLeast"/>
          <w:jc w:val="center"/>
        </w:trPr>
        <w:tc>
          <w:tcPr>
            <w:tcW w:w="653" w:type="dxa"/>
            <w:vMerge w:val="continue"/>
            <w:tcBorders>
              <w:top w:val="nil"/>
              <w:left w:val="single" w:color="auto" w:sz="4" w:space="0"/>
              <w:bottom w:val="single" w:color="auto" w:sz="4" w:space="0"/>
              <w:right w:val="single" w:color="auto" w:sz="4" w:space="0"/>
            </w:tcBorders>
            <w:vAlign w:val="center"/>
          </w:tcPr>
          <w:p w14:paraId="67ABE767">
            <w:pPr>
              <w:widowControl/>
              <w:jc w:val="left"/>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vAlign w:val="center"/>
          </w:tcPr>
          <w:p w14:paraId="48D955E6">
            <w:pPr>
              <w:widowControl/>
              <w:jc w:val="left"/>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54C13F95">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10月31日</w:t>
            </w:r>
          </w:p>
        </w:tc>
        <w:tc>
          <w:tcPr>
            <w:tcW w:w="1077" w:type="dxa"/>
            <w:tcBorders>
              <w:top w:val="nil"/>
              <w:left w:val="nil"/>
              <w:bottom w:val="single" w:color="auto" w:sz="4" w:space="0"/>
              <w:right w:val="single" w:color="auto" w:sz="4" w:space="0"/>
            </w:tcBorders>
            <w:shd w:val="clear" w:color="auto" w:fill="auto"/>
            <w:vAlign w:val="center"/>
          </w:tcPr>
          <w:p w14:paraId="14B1079B">
            <w:pPr>
              <w:widowControl/>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线上会议</w:t>
            </w:r>
          </w:p>
        </w:tc>
        <w:tc>
          <w:tcPr>
            <w:tcW w:w="5533" w:type="dxa"/>
            <w:tcBorders>
              <w:top w:val="nil"/>
              <w:left w:val="nil"/>
              <w:bottom w:val="single" w:color="auto" w:sz="4" w:space="0"/>
              <w:right w:val="single" w:color="auto" w:sz="4" w:space="0"/>
            </w:tcBorders>
            <w:shd w:val="clear" w:color="auto" w:fill="auto"/>
            <w:vAlign w:val="center"/>
          </w:tcPr>
          <w:p w14:paraId="667D7BEE">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中国精算师协会与英国精算师协会联合网络系列培训课程</w:t>
            </w:r>
          </w:p>
        </w:tc>
        <w:tc>
          <w:tcPr>
            <w:tcW w:w="645" w:type="dxa"/>
            <w:tcBorders>
              <w:top w:val="nil"/>
              <w:left w:val="nil"/>
              <w:bottom w:val="single" w:color="auto" w:sz="4" w:space="0"/>
              <w:right w:val="single" w:color="auto" w:sz="4" w:space="0"/>
            </w:tcBorders>
            <w:shd w:val="clear" w:color="auto" w:fill="auto"/>
            <w:noWrap/>
            <w:vAlign w:val="center"/>
          </w:tcPr>
          <w:p w14:paraId="77084342">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2</w:t>
            </w:r>
          </w:p>
        </w:tc>
        <w:tc>
          <w:tcPr>
            <w:tcW w:w="2978" w:type="dxa"/>
            <w:vMerge w:val="continue"/>
            <w:tcBorders>
              <w:top w:val="nil"/>
              <w:left w:val="single" w:color="auto" w:sz="4" w:space="0"/>
              <w:bottom w:val="single" w:color="auto" w:sz="4" w:space="0"/>
              <w:right w:val="single" w:color="auto" w:sz="4" w:space="0"/>
            </w:tcBorders>
            <w:vAlign w:val="center"/>
          </w:tcPr>
          <w:p w14:paraId="1309271A">
            <w:pPr>
              <w:widowControl/>
              <w:jc w:val="left"/>
              <w:rPr>
                <w:rFonts w:hint="eastAsia" w:ascii="仿宋_GB2312" w:hAnsi="等线" w:eastAsia="仿宋_GB2312" w:cs="宋体"/>
                <w:color w:val="000000"/>
                <w:kern w:val="0"/>
                <w:szCs w:val="21"/>
              </w:rPr>
            </w:pPr>
          </w:p>
        </w:tc>
      </w:tr>
      <w:tr w14:paraId="2E806087">
        <w:tblPrEx>
          <w:tblCellMar>
            <w:top w:w="0" w:type="dxa"/>
            <w:left w:w="108" w:type="dxa"/>
            <w:bottom w:w="0" w:type="dxa"/>
            <w:right w:w="108" w:type="dxa"/>
          </w:tblCellMar>
        </w:tblPrEx>
        <w:trPr>
          <w:trHeight w:val="501" w:hRule="atLeast"/>
          <w:jc w:val="center"/>
        </w:trPr>
        <w:tc>
          <w:tcPr>
            <w:tcW w:w="653" w:type="dxa"/>
            <w:vMerge w:val="continue"/>
            <w:tcBorders>
              <w:top w:val="nil"/>
              <w:left w:val="single" w:color="auto" w:sz="4" w:space="0"/>
              <w:bottom w:val="single" w:color="auto" w:sz="4" w:space="0"/>
              <w:right w:val="single" w:color="auto" w:sz="4" w:space="0"/>
            </w:tcBorders>
            <w:vAlign w:val="center"/>
          </w:tcPr>
          <w:p w14:paraId="3462FF2A">
            <w:pPr>
              <w:widowControl/>
              <w:jc w:val="left"/>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vAlign w:val="center"/>
          </w:tcPr>
          <w:p w14:paraId="54E3C70C">
            <w:pPr>
              <w:widowControl/>
              <w:jc w:val="left"/>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4157FA91">
            <w:pPr>
              <w:widowControl/>
              <w:jc w:val="left"/>
              <w:textAlignment w:val="center"/>
              <w:rPr>
                <w:rFonts w:hint="eastAsia" w:ascii="仿宋_GB2312" w:hAnsi="宋体" w:eastAsia="仿宋_GB2312" w:cs="宋体"/>
                <w:color w:val="000000"/>
                <w:kern w:val="0"/>
                <w:szCs w:val="21"/>
                <w:lang w:bidi="ar"/>
              </w:rPr>
            </w:pPr>
            <w:r>
              <w:rPr>
                <w:rFonts w:hint="eastAsia" w:ascii="仿宋_GB2312" w:hAnsi="宋体" w:eastAsia="仿宋_GB2312" w:cs="宋体"/>
                <w:color w:val="000000"/>
                <w:kern w:val="0"/>
                <w:szCs w:val="21"/>
                <w:lang w:bidi="ar"/>
              </w:rPr>
              <w:t>11月21-2</w:t>
            </w:r>
            <w:r>
              <w:rPr>
                <w:rFonts w:hint="eastAsia" w:ascii="仿宋_GB2312" w:hAnsi="宋体" w:eastAsia="仿宋_GB2312" w:cs="宋体"/>
                <w:color w:val="000000"/>
                <w:kern w:val="0"/>
                <w:szCs w:val="21"/>
                <w:lang w:val="en-US" w:eastAsia="zh-CN" w:bidi="ar"/>
              </w:rPr>
              <w:t>2</w:t>
            </w:r>
            <w:r>
              <w:rPr>
                <w:rFonts w:hint="eastAsia" w:ascii="仿宋_GB2312" w:hAnsi="宋体" w:eastAsia="仿宋_GB2312" w:cs="宋体"/>
                <w:color w:val="000000"/>
                <w:kern w:val="0"/>
                <w:szCs w:val="21"/>
                <w:lang w:bidi="ar"/>
              </w:rPr>
              <w:t>日</w:t>
            </w:r>
          </w:p>
        </w:tc>
        <w:tc>
          <w:tcPr>
            <w:tcW w:w="1077" w:type="dxa"/>
            <w:tcBorders>
              <w:top w:val="nil"/>
              <w:left w:val="nil"/>
              <w:bottom w:val="single" w:color="auto" w:sz="4" w:space="0"/>
              <w:right w:val="single" w:color="auto" w:sz="4" w:space="0"/>
            </w:tcBorders>
            <w:shd w:val="clear" w:color="auto" w:fill="auto"/>
            <w:vAlign w:val="center"/>
          </w:tcPr>
          <w:p w14:paraId="67345308">
            <w:pPr>
              <w:widowControl/>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现场会议</w:t>
            </w:r>
          </w:p>
        </w:tc>
        <w:tc>
          <w:tcPr>
            <w:tcW w:w="5533" w:type="dxa"/>
            <w:tcBorders>
              <w:top w:val="nil"/>
              <w:left w:val="nil"/>
              <w:bottom w:val="single" w:color="auto" w:sz="4" w:space="0"/>
              <w:right w:val="single" w:color="auto" w:sz="4" w:space="0"/>
            </w:tcBorders>
            <w:shd w:val="clear" w:color="auto" w:fill="auto"/>
            <w:vAlign w:val="center"/>
          </w:tcPr>
          <w:p w14:paraId="5D624940">
            <w:pPr>
              <w:widowControl/>
              <w:jc w:val="center"/>
              <w:textAlignment w:val="center"/>
              <w:rPr>
                <w:rFonts w:hint="eastAsia" w:ascii="仿宋_GB2312" w:hAnsi="宋体" w:eastAsia="仿宋_GB2312" w:cs="宋体"/>
                <w:color w:val="000000"/>
                <w:kern w:val="0"/>
                <w:szCs w:val="21"/>
                <w:lang w:bidi="ar"/>
              </w:rPr>
            </w:pPr>
            <w:r>
              <w:rPr>
                <w:rFonts w:hint="eastAsia" w:ascii="仿宋_GB2312" w:hAnsi="宋体" w:eastAsia="仿宋_GB2312" w:cs="宋体"/>
                <w:color w:val="000000"/>
                <w:kern w:val="0"/>
                <w:szCs w:val="21"/>
                <w:lang w:bidi="ar"/>
              </w:rPr>
              <w:t>中国精算师协会第19届精算年会</w:t>
            </w:r>
          </w:p>
        </w:tc>
        <w:tc>
          <w:tcPr>
            <w:tcW w:w="645" w:type="dxa"/>
            <w:tcBorders>
              <w:top w:val="nil"/>
              <w:left w:val="nil"/>
              <w:bottom w:val="single" w:color="auto" w:sz="4" w:space="0"/>
              <w:right w:val="single" w:color="auto" w:sz="4" w:space="0"/>
            </w:tcBorders>
            <w:shd w:val="clear" w:color="auto" w:fill="auto"/>
            <w:noWrap/>
            <w:vAlign w:val="center"/>
          </w:tcPr>
          <w:p w14:paraId="1EA0F2F2">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10</w:t>
            </w:r>
          </w:p>
        </w:tc>
        <w:tc>
          <w:tcPr>
            <w:tcW w:w="2978" w:type="dxa"/>
            <w:vMerge w:val="continue"/>
            <w:tcBorders>
              <w:top w:val="nil"/>
              <w:left w:val="single" w:color="auto" w:sz="4" w:space="0"/>
              <w:bottom w:val="single" w:color="auto" w:sz="4" w:space="0"/>
              <w:right w:val="single" w:color="auto" w:sz="4" w:space="0"/>
            </w:tcBorders>
            <w:vAlign w:val="center"/>
          </w:tcPr>
          <w:p w14:paraId="1F94E776">
            <w:pPr>
              <w:widowControl/>
              <w:jc w:val="left"/>
              <w:rPr>
                <w:rFonts w:hint="eastAsia" w:ascii="仿宋_GB2312" w:hAnsi="等线" w:eastAsia="仿宋_GB2312" w:cs="宋体"/>
                <w:color w:val="000000"/>
                <w:kern w:val="0"/>
                <w:szCs w:val="21"/>
              </w:rPr>
            </w:pPr>
          </w:p>
        </w:tc>
      </w:tr>
      <w:tr w14:paraId="330B28AA">
        <w:tblPrEx>
          <w:tblCellMar>
            <w:top w:w="0" w:type="dxa"/>
            <w:left w:w="108" w:type="dxa"/>
            <w:bottom w:w="0" w:type="dxa"/>
            <w:right w:w="108" w:type="dxa"/>
          </w:tblCellMar>
        </w:tblPrEx>
        <w:trPr>
          <w:trHeight w:val="400" w:hRule="atLeast"/>
          <w:jc w:val="center"/>
        </w:trPr>
        <w:tc>
          <w:tcPr>
            <w:tcW w:w="653" w:type="dxa"/>
            <w:vMerge w:val="continue"/>
            <w:tcBorders>
              <w:top w:val="nil"/>
              <w:left w:val="single" w:color="auto" w:sz="4" w:space="0"/>
              <w:bottom w:val="single" w:color="auto" w:sz="4" w:space="0"/>
              <w:right w:val="single" w:color="auto" w:sz="4" w:space="0"/>
            </w:tcBorders>
            <w:vAlign w:val="center"/>
          </w:tcPr>
          <w:p w14:paraId="0E03D989">
            <w:pPr>
              <w:widowControl/>
              <w:jc w:val="left"/>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vAlign w:val="center"/>
          </w:tcPr>
          <w:p w14:paraId="44BD22FA">
            <w:pPr>
              <w:widowControl/>
              <w:jc w:val="left"/>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26F3B23B">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11月28日</w:t>
            </w:r>
          </w:p>
        </w:tc>
        <w:tc>
          <w:tcPr>
            <w:tcW w:w="1077" w:type="dxa"/>
            <w:tcBorders>
              <w:top w:val="nil"/>
              <w:left w:val="nil"/>
              <w:bottom w:val="single" w:color="auto" w:sz="4" w:space="0"/>
              <w:right w:val="single" w:color="auto" w:sz="4" w:space="0"/>
            </w:tcBorders>
            <w:shd w:val="clear" w:color="auto" w:fill="auto"/>
            <w:vAlign w:val="center"/>
          </w:tcPr>
          <w:p w14:paraId="6E093A01">
            <w:pPr>
              <w:widowControl/>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线上线下相结合</w:t>
            </w:r>
          </w:p>
        </w:tc>
        <w:tc>
          <w:tcPr>
            <w:tcW w:w="5533" w:type="dxa"/>
            <w:tcBorders>
              <w:top w:val="nil"/>
              <w:left w:val="nil"/>
              <w:bottom w:val="single" w:color="auto" w:sz="4" w:space="0"/>
              <w:right w:val="single" w:color="auto" w:sz="4" w:space="0"/>
            </w:tcBorders>
            <w:shd w:val="clear" w:color="auto" w:fill="auto"/>
            <w:vAlign w:val="center"/>
          </w:tcPr>
          <w:p w14:paraId="73031785">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华东地区非寿险精算讲堂第37讲（2024年度）</w:t>
            </w:r>
          </w:p>
        </w:tc>
        <w:tc>
          <w:tcPr>
            <w:tcW w:w="645" w:type="dxa"/>
            <w:tcBorders>
              <w:top w:val="nil"/>
              <w:left w:val="nil"/>
              <w:bottom w:val="single" w:color="auto" w:sz="4" w:space="0"/>
              <w:right w:val="single" w:color="auto" w:sz="4" w:space="0"/>
            </w:tcBorders>
            <w:shd w:val="clear" w:color="auto" w:fill="auto"/>
            <w:noWrap/>
            <w:vAlign w:val="center"/>
          </w:tcPr>
          <w:p w14:paraId="58AA3D87">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3</w:t>
            </w:r>
          </w:p>
        </w:tc>
        <w:tc>
          <w:tcPr>
            <w:tcW w:w="2978" w:type="dxa"/>
            <w:vMerge w:val="continue"/>
            <w:tcBorders>
              <w:top w:val="nil"/>
              <w:left w:val="single" w:color="auto" w:sz="4" w:space="0"/>
              <w:bottom w:val="single" w:color="auto" w:sz="4" w:space="0"/>
              <w:right w:val="single" w:color="auto" w:sz="4" w:space="0"/>
            </w:tcBorders>
            <w:vAlign w:val="center"/>
          </w:tcPr>
          <w:p w14:paraId="160759C2">
            <w:pPr>
              <w:widowControl/>
              <w:jc w:val="left"/>
              <w:rPr>
                <w:rFonts w:hint="eastAsia" w:ascii="仿宋_GB2312" w:hAnsi="等线" w:eastAsia="仿宋_GB2312" w:cs="宋体"/>
                <w:color w:val="000000"/>
                <w:kern w:val="0"/>
                <w:szCs w:val="21"/>
              </w:rPr>
            </w:pPr>
          </w:p>
        </w:tc>
      </w:tr>
      <w:tr w14:paraId="3C00DCE1">
        <w:tblPrEx>
          <w:tblCellMar>
            <w:top w:w="0" w:type="dxa"/>
            <w:left w:w="108" w:type="dxa"/>
            <w:bottom w:w="0" w:type="dxa"/>
            <w:right w:w="108" w:type="dxa"/>
          </w:tblCellMar>
        </w:tblPrEx>
        <w:trPr>
          <w:trHeight w:val="400" w:hRule="atLeast"/>
          <w:jc w:val="center"/>
        </w:trPr>
        <w:tc>
          <w:tcPr>
            <w:tcW w:w="653" w:type="dxa"/>
            <w:vMerge w:val="continue"/>
            <w:tcBorders>
              <w:top w:val="nil"/>
              <w:left w:val="single" w:color="auto" w:sz="4" w:space="0"/>
              <w:bottom w:val="single" w:color="auto" w:sz="4" w:space="0"/>
              <w:right w:val="single" w:color="auto" w:sz="4" w:space="0"/>
            </w:tcBorders>
            <w:vAlign w:val="center"/>
          </w:tcPr>
          <w:p w14:paraId="4E23DCA5">
            <w:pPr>
              <w:widowControl/>
              <w:jc w:val="left"/>
              <w:rPr>
                <w:rFonts w:hint="eastAsia" w:ascii="仿宋_GB2312" w:hAnsi="等线" w:eastAsia="仿宋_GB2312" w:cs="宋体"/>
                <w:color w:val="000000"/>
                <w:kern w:val="0"/>
                <w:szCs w:val="21"/>
              </w:rPr>
            </w:pPr>
          </w:p>
        </w:tc>
        <w:tc>
          <w:tcPr>
            <w:tcW w:w="2831" w:type="dxa"/>
            <w:vMerge w:val="continue"/>
            <w:tcBorders>
              <w:top w:val="nil"/>
              <w:left w:val="single" w:color="auto" w:sz="4" w:space="0"/>
              <w:bottom w:val="single" w:color="auto" w:sz="4" w:space="0"/>
              <w:right w:val="single" w:color="auto" w:sz="4" w:space="0"/>
            </w:tcBorders>
            <w:vAlign w:val="center"/>
          </w:tcPr>
          <w:p w14:paraId="50D48C71">
            <w:pPr>
              <w:widowControl/>
              <w:jc w:val="left"/>
              <w:rPr>
                <w:rFonts w:hint="eastAsia" w:ascii="仿宋_GB2312" w:hAnsi="等线" w:eastAsia="仿宋_GB2312" w:cs="宋体"/>
                <w:color w:val="000000"/>
                <w:kern w:val="0"/>
                <w:szCs w:val="21"/>
              </w:rPr>
            </w:pPr>
          </w:p>
        </w:tc>
        <w:tc>
          <w:tcPr>
            <w:tcW w:w="1004" w:type="dxa"/>
            <w:tcBorders>
              <w:top w:val="nil"/>
              <w:left w:val="nil"/>
              <w:bottom w:val="single" w:color="auto" w:sz="4" w:space="0"/>
              <w:right w:val="single" w:color="auto" w:sz="4" w:space="0"/>
            </w:tcBorders>
            <w:shd w:val="clear" w:color="auto" w:fill="auto"/>
            <w:vAlign w:val="center"/>
          </w:tcPr>
          <w:p w14:paraId="051CB77A">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12月5日</w:t>
            </w:r>
          </w:p>
        </w:tc>
        <w:tc>
          <w:tcPr>
            <w:tcW w:w="1077" w:type="dxa"/>
            <w:tcBorders>
              <w:top w:val="nil"/>
              <w:left w:val="nil"/>
              <w:bottom w:val="single" w:color="auto" w:sz="4" w:space="0"/>
              <w:right w:val="single" w:color="auto" w:sz="4" w:space="0"/>
            </w:tcBorders>
            <w:shd w:val="clear" w:color="auto" w:fill="auto"/>
            <w:vAlign w:val="center"/>
          </w:tcPr>
          <w:p w14:paraId="39B7706E">
            <w:pPr>
              <w:widowControl/>
              <w:rPr>
                <w:rFonts w:hint="eastAsia" w:ascii="仿宋_GB2312" w:hAnsi="等线" w:eastAsia="仿宋_GB2312" w:cs="宋体"/>
                <w:color w:val="000000"/>
                <w:kern w:val="0"/>
                <w:szCs w:val="21"/>
              </w:rPr>
            </w:pPr>
            <w:r>
              <w:rPr>
                <w:rFonts w:hint="eastAsia" w:ascii="仿宋_GB2312" w:hAnsi="等线" w:eastAsia="仿宋_GB2312" w:cs="宋体"/>
                <w:color w:val="000000"/>
                <w:kern w:val="0"/>
                <w:szCs w:val="21"/>
              </w:rPr>
              <w:t>线上会议</w:t>
            </w:r>
          </w:p>
        </w:tc>
        <w:tc>
          <w:tcPr>
            <w:tcW w:w="5533" w:type="dxa"/>
            <w:tcBorders>
              <w:top w:val="nil"/>
              <w:left w:val="nil"/>
              <w:bottom w:val="single" w:color="auto" w:sz="4" w:space="0"/>
              <w:right w:val="single" w:color="auto" w:sz="4" w:space="0"/>
            </w:tcBorders>
            <w:shd w:val="clear" w:color="auto" w:fill="auto"/>
            <w:vAlign w:val="center"/>
          </w:tcPr>
          <w:p w14:paraId="4D60ECC6">
            <w:pPr>
              <w:widowControl/>
              <w:jc w:val="center"/>
              <w:textAlignment w:val="center"/>
              <w:rPr>
                <w:rFonts w:hint="eastAsia" w:ascii="仿宋_GB2312" w:hAnsi="等线" w:eastAsia="仿宋_GB2312" w:cs="宋体"/>
                <w:color w:val="000000"/>
                <w:kern w:val="0"/>
                <w:szCs w:val="21"/>
              </w:rPr>
            </w:pPr>
            <w:r>
              <w:rPr>
                <w:rFonts w:hint="eastAsia" w:ascii="仿宋_GB2312" w:hAnsi="宋体" w:eastAsia="仿宋_GB2312" w:cs="宋体"/>
                <w:color w:val="000000"/>
                <w:kern w:val="0"/>
                <w:szCs w:val="21"/>
                <w:lang w:bidi="ar"/>
              </w:rPr>
              <w:t>华北地区寿险精算讲堂第17讲（2024年度）</w:t>
            </w:r>
          </w:p>
        </w:tc>
        <w:tc>
          <w:tcPr>
            <w:tcW w:w="645" w:type="dxa"/>
            <w:tcBorders>
              <w:top w:val="nil"/>
              <w:left w:val="nil"/>
              <w:bottom w:val="single" w:color="auto" w:sz="4" w:space="0"/>
              <w:right w:val="single" w:color="auto" w:sz="4" w:space="0"/>
            </w:tcBorders>
            <w:shd w:val="clear" w:color="auto" w:fill="auto"/>
            <w:noWrap/>
            <w:vAlign w:val="center"/>
          </w:tcPr>
          <w:p w14:paraId="1A684658">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2</w:t>
            </w:r>
          </w:p>
        </w:tc>
        <w:tc>
          <w:tcPr>
            <w:tcW w:w="2978" w:type="dxa"/>
            <w:vMerge w:val="continue"/>
            <w:tcBorders>
              <w:top w:val="nil"/>
              <w:left w:val="single" w:color="auto" w:sz="4" w:space="0"/>
              <w:bottom w:val="single" w:color="auto" w:sz="4" w:space="0"/>
              <w:right w:val="single" w:color="auto" w:sz="4" w:space="0"/>
            </w:tcBorders>
            <w:vAlign w:val="center"/>
          </w:tcPr>
          <w:p w14:paraId="2D5F4C5A">
            <w:pPr>
              <w:widowControl/>
              <w:jc w:val="left"/>
              <w:rPr>
                <w:rFonts w:hint="eastAsia" w:ascii="仿宋_GB2312" w:hAnsi="等线" w:eastAsia="仿宋_GB2312" w:cs="宋体"/>
                <w:color w:val="000000"/>
                <w:kern w:val="0"/>
                <w:szCs w:val="21"/>
              </w:rPr>
            </w:pPr>
          </w:p>
        </w:tc>
      </w:tr>
      <w:tr w14:paraId="07BA1B11">
        <w:tblPrEx>
          <w:tblCellMar>
            <w:top w:w="0" w:type="dxa"/>
            <w:left w:w="108" w:type="dxa"/>
            <w:bottom w:w="0" w:type="dxa"/>
            <w:right w:w="108" w:type="dxa"/>
          </w:tblCellMar>
        </w:tblPrEx>
        <w:trPr>
          <w:trHeight w:val="1103" w:hRule="atLeast"/>
          <w:jc w:val="center"/>
        </w:trPr>
        <w:tc>
          <w:tcPr>
            <w:tcW w:w="653" w:type="dxa"/>
            <w:tcBorders>
              <w:top w:val="nil"/>
              <w:left w:val="single" w:color="auto" w:sz="4" w:space="0"/>
              <w:bottom w:val="single" w:color="auto" w:sz="4" w:space="0"/>
              <w:right w:val="single" w:color="auto" w:sz="4" w:space="0"/>
            </w:tcBorders>
            <w:shd w:val="clear" w:color="auto" w:fill="auto"/>
            <w:noWrap/>
            <w:vAlign w:val="center"/>
          </w:tcPr>
          <w:p w14:paraId="082688D2">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2</w:t>
            </w:r>
          </w:p>
        </w:tc>
        <w:tc>
          <w:tcPr>
            <w:tcW w:w="2831" w:type="dxa"/>
            <w:tcBorders>
              <w:top w:val="nil"/>
              <w:left w:val="nil"/>
              <w:bottom w:val="single" w:color="auto" w:sz="4" w:space="0"/>
              <w:right w:val="single" w:color="auto" w:sz="4" w:space="0"/>
            </w:tcBorders>
            <w:shd w:val="clear" w:color="auto" w:fill="auto"/>
            <w:vAlign w:val="center"/>
          </w:tcPr>
          <w:p w14:paraId="495B950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担任协会或协会认可</w:t>
            </w:r>
            <w:bookmarkStart w:id="2" w:name="_GoBack"/>
            <w:bookmarkEnd w:id="2"/>
            <w:r>
              <w:rPr>
                <w:rFonts w:hint="eastAsia" w:ascii="仿宋_GB2312" w:hAnsi="等线" w:eastAsia="仿宋_GB2312" w:cs="宋体"/>
                <w:kern w:val="0"/>
                <w:sz w:val="20"/>
                <w:szCs w:val="20"/>
              </w:rPr>
              <w:t>机构举办的面授和网络培训授课人、专业论坛或研讨的演讲人，按实际授课或演讲时间折算学分</w:t>
            </w:r>
          </w:p>
        </w:tc>
        <w:tc>
          <w:tcPr>
            <w:tcW w:w="7614" w:type="dxa"/>
            <w:gridSpan w:val="3"/>
            <w:tcBorders>
              <w:top w:val="single" w:color="auto" w:sz="4" w:space="0"/>
              <w:left w:val="nil"/>
              <w:bottom w:val="single" w:color="auto" w:sz="4" w:space="0"/>
              <w:right w:val="single" w:color="auto" w:sz="4" w:space="0"/>
            </w:tcBorders>
            <w:shd w:val="clear" w:color="auto" w:fill="auto"/>
            <w:vAlign w:val="center"/>
          </w:tcPr>
          <w:p w14:paraId="597175A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1.担任精算年会、职业道德培训、教育论坛、精算讲堂、联合会员活动及网络培训等授课人、演讲人或主持人；2.应邀在协会认可的高校精算培训或讲座中，担任授课人、演讲人或主持人。</w:t>
            </w:r>
          </w:p>
        </w:tc>
        <w:tc>
          <w:tcPr>
            <w:tcW w:w="645" w:type="dxa"/>
            <w:tcBorders>
              <w:top w:val="nil"/>
              <w:left w:val="nil"/>
              <w:bottom w:val="single" w:color="auto" w:sz="4" w:space="0"/>
              <w:right w:val="single" w:color="auto" w:sz="4" w:space="0"/>
            </w:tcBorders>
            <w:shd w:val="clear" w:color="auto" w:fill="auto"/>
            <w:vAlign w:val="center"/>
          </w:tcPr>
          <w:p w14:paraId="70BC4DE7">
            <w:pPr>
              <w:widowControl/>
              <w:jc w:val="left"/>
              <w:rPr>
                <w:rFonts w:hint="eastAsia" w:ascii="仿宋_GB2312" w:hAnsi="等线" w:eastAsia="仿宋_GB2312" w:cs="宋体"/>
                <w:kern w:val="0"/>
                <w:sz w:val="20"/>
                <w:szCs w:val="20"/>
              </w:rPr>
            </w:pPr>
            <w:r>
              <w:rPr>
                <w:rFonts w:hint="eastAsia" w:ascii="仿宋_GB2312" w:hAnsi="等线" w:eastAsia="仿宋_GB2312" w:cs="宋体"/>
                <w:kern w:val="0"/>
                <w:sz w:val="20"/>
                <w:szCs w:val="20"/>
              </w:rPr>
              <w:t>　/</w:t>
            </w:r>
          </w:p>
        </w:tc>
        <w:tc>
          <w:tcPr>
            <w:tcW w:w="2978" w:type="dxa"/>
            <w:tcBorders>
              <w:top w:val="nil"/>
              <w:left w:val="nil"/>
              <w:bottom w:val="single" w:color="auto" w:sz="4" w:space="0"/>
              <w:right w:val="single" w:color="auto" w:sz="4" w:space="0"/>
            </w:tcBorders>
            <w:shd w:val="clear" w:color="auto" w:fill="auto"/>
            <w:vAlign w:val="center"/>
          </w:tcPr>
          <w:p w14:paraId="030591E1">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每1小时折2个学分（超过半小时不足1小时部分，按1小时计算）</w:t>
            </w:r>
          </w:p>
        </w:tc>
      </w:tr>
      <w:tr w14:paraId="6E2A9415">
        <w:tblPrEx>
          <w:tblCellMar>
            <w:top w:w="0" w:type="dxa"/>
            <w:left w:w="108" w:type="dxa"/>
            <w:bottom w:w="0" w:type="dxa"/>
            <w:right w:w="108" w:type="dxa"/>
          </w:tblCellMar>
        </w:tblPrEx>
        <w:trPr>
          <w:trHeight w:val="554" w:hRule="atLeast"/>
          <w:jc w:val="center"/>
        </w:trPr>
        <w:tc>
          <w:tcPr>
            <w:tcW w:w="653" w:type="dxa"/>
            <w:tcBorders>
              <w:top w:val="nil"/>
              <w:left w:val="single" w:color="auto" w:sz="4" w:space="0"/>
              <w:bottom w:val="single" w:color="auto" w:sz="4" w:space="0"/>
              <w:right w:val="single" w:color="auto" w:sz="4" w:space="0"/>
            </w:tcBorders>
            <w:shd w:val="clear" w:color="auto" w:fill="auto"/>
            <w:noWrap/>
            <w:vAlign w:val="center"/>
          </w:tcPr>
          <w:p w14:paraId="09AD02BE">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3</w:t>
            </w:r>
          </w:p>
        </w:tc>
        <w:tc>
          <w:tcPr>
            <w:tcW w:w="2831" w:type="dxa"/>
            <w:tcBorders>
              <w:top w:val="nil"/>
              <w:left w:val="nil"/>
              <w:bottom w:val="single" w:color="auto" w:sz="4" w:space="0"/>
              <w:right w:val="single" w:color="auto" w:sz="4" w:space="0"/>
            </w:tcBorders>
            <w:shd w:val="clear" w:color="auto" w:fill="auto"/>
            <w:vAlign w:val="center"/>
          </w:tcPr>
          <w:p w14:paraId="4D4EF9E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参加行业标准、制度研究起草工作</w:t>
            </w:r>
          </w:p>
        </w:tc>
        <w:tc>
          <w:tcPr>
            <w:tcW w:w="7614" w:type="dxa"/>
            <w:gridSpan w:val="3"/>
            <w:tcBorders>
              <w:top w:val="single" w:color="auto" w:sz="4" w:space="0"/>
              <w:left w:val="nil"/>
              <w:bottom w:val="single" w:color="auto" w:sz="4" w:space="0"/>
              <w:right w:val="single" w:color="auto" w:sz="4" w:space="0"/>
            </w:tcBorders>
            <w:shd w:val="clear" w:color="auto" w:fill="auto"/>
            <w:vAlign w:val="center"/>
          </w:tcPr>
          <w:p w14:paraId="69D5B0B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1.生命表项目；2.内含价值评估项目；3.重疾表检视项目；4.车险费率回溯项目；5.农险风险区划项目；6.首台（套）项目；7.参加ICS测试工作；8.其他行业标准、制度起草工作。</w:t>
            </w:r>
          </w:p>
        </w:tc>
        <w:tc>
          <w:tcPr>
            <w:tcW w:w="645" w:type="dxa"/>
            <w:tcBorders>
              <w:top w:val="nil"/>
              <w:left w:val="nil"/>
              <w:bottom w:val="single" w:color="auto" w:sz="4" w:space="0"/>
              <w:right w:val="single" w:color="auto" w:sz="4" w:space="0"/>
            </w:tcBorders>
            <w:shd w:val="clear" w:color="auto" w:fill="auto"/>
            <w:vAlign w:val="center"/>
          </w:tcPr>
          <w:p w14:paraId="45E85BD4">
            <w:pPr>
              <w:widowControl/>
              <w:jc w:val="left"/>
              <w:rPr>
                <w:rFonts w:hint="eastAsia" w:ascii="仿宋_GB2312" w:hAnsi="等线" w:eastAsia="仿宋_GB2312" w:cs="宋体"/>
                <w:kern w:val="0"/>
                <w:sz w:val="20"/>
                <w:szCs w:val="20"/>
              </w:rPr>
            </w:pPr>
            <w:r>
              <w:rPr>
                <w:rFonts w:hint="eastAsia" w:ascii="仿宋_GB2312" w:hAnsi="等线" w:eastAsia="仿宋_GB2312" w:cs="宋体"/>
                <w:kern w:val="0"/>
                <w:sz w:val="20"/>
                <w:szCs w:val="20"/>
              </w:rPr>
              <w:t>　/</w:t>
            </w:r>
          </w:p>
        </w:tc>
        <w:tc>
          <w:tcPr>
            <w:tcW w:w="2978" w:type="dxa"/>
            <w:tcBorders>
              <w:top w:val="nil"/>
              <w:left w:val="nil"/>
              <w:bottom w:val="single" w:color="auto" w:sz="4" w:space="0"/>
              <w:right w:val="single" w:color="auto" w:sz="4" w:space="0"/>
            </w:tcBorders>
            <w:shd w:val="clear" w:color="auto" w:fill="auto"/>
            <w:vAlign w:val="center"/>
          </w:tcPr>
          <w:p w14:paraId="7E17B292">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每1小时折1个学分（超过半小时不足1小时部分，按1小时计算）</w:t>
            </w:r>
          </w:p>
        </w:tc>
      </w:tr>
      <w:tr w14:paraId="4C36FE01">
        <w:tblPrEx>
          <w:tblCellMar>
            <w:top w:w="0" w:type="dxa"/>
            <w:left w:w="108" w:type="dxa"/>
            <w:bottom w:w="0" w:type="dxa"/>
            <w:right w:w="108" w:type="dxa"/>
          </w:tblCellMar>
        </w:tblPrEx>
        <w:trPr>
          <w:trHeight w:val="901" w:hRule="atLeast"/>
          <w:jc w:val="center"/>
        </w:trPr>
        <w:tc>
          <w:tcPr>
            <w:tcW w:w="653" w:type="dxa"/>
            <w:tcBorders>
              <w:top w:val="nil"/>
              <w:left w:val="single" w:color="auto" w:sz="4" w:space="0"/>
              <w:bottom w:val="single" w:color="auto" w:sz="4" w:space="0"/>
              <w:right w:val="single" w:color="auto" w:sz="4" w:space="0"/>
            </w:tcBorders>
            <w:shd w:val="clear" w:color="auto" w:fill="auto"/>
            <w:noWrap/>
            <w:vAlign w:val="center"/>
          </w:tcPr>
          <w:p w14:paraId="727FCC02">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4</w:t>
            </w:r>
          </w:p>
        </w:tc>
        <w:tc>
          <w:tcPr>
            <w:tcW w:w="2831" w:type="dxa"/>
            <w:tcBorders>
              <w:top w:val="nil"/>
              <w:left w:val="nil"/>
              <w:bottom w:val="single" w:color="auto" w:sz="4" w:space="0"/>
              <w:right w:val="single" w:color="auto" w:sz="4" w:space="0"/>
            </w:tcBorders>
            <w:shd w:val="clear" w:color="auto" w:fill="auto"/>
            <w:vAlign w:val="center"/>
          </w:tcPr>
          <w:p w14:paraId="2BC2559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担任精算师职业资格考试命审题阅卷专家或精算师职业资格考试相关工作</w:t>
            </w:r>
          </w:p>
        </w:tc>
        <w:tc>
          <w:tcPr>
            <w:tcW w:w="7614" w:type="dxa"/>
            <w:gridSpan w:val="3"/>
            <w:tcBorders>
              <w:top w:val="single" w:color="auto" w:sz="4" w:space="0"/>
              <w:left w:val="nil"/>
              <w:bottom w:val="single" w:color="auto" w:sz="4" w:space="0"/>
              <w:right w:val="single" w:color="auto" w:sz="4" w:space="0"/>
            </w:tcBorders>
            <w:shd w:val="clear" w:color="000000" w:fill="FFFFFF"/>
            <w:vAlign w:val="center"/>
          </w:tcPr>
          <w:p w14:paraId="595AA59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1.参加教育考试委员会，并对议案进行审议表决；2.参加考试命审题、阅卷、试做等工作；3.参加考试巡考；4.参加考试教材编写；5.其他考试相关工作。</w:t>
            </w:r>
          </w:p>
        </w:tc>
        <w:tc>
          <w:tcPr>
            <w:tcW w:w="645" w:type="dxa"/>
            <w:tcBorders>
              <w:top w:val="nil"/>
              <w:left w:val="nil"/>
              <w:bottom w:val="single" w:color="auto" w:sz="4" w:space="0"/>
              <w:right w:val="single" w:color="auto" w:sz="4" w:space="0"/>
            </w:tcBorders>
            <w:shd w:val="clear" w:color="auto" w:fill="auto"/>
            <w:vAlign w:val="center"/>
          </w:tcPr>
          <w:p w14:paraId="058ECDD3">
            <w:pPr>
              <w:widowControl/>
              <w:jc w:val="left"/>
              <w:rPr>
                <w:rFonts w:hint="eastAsia" w:ascii="仿宋_GB2312" w:hAnsi="等线" w:eastAsia="仿宋_GB2312" w:cs="宋体"/>
                <w:kern w:val="0"/>
                <w:sz w:val="20"/>
                <w:szCs w:val="20"/>
              </w:rPr>
            </w:pPr>
            <w:r>
              <w:rPr>
                <w:rFonts w:hint="eastAsia" w:ascii="仿宋_GB2312" w:hAnsi="等线" w:eastAsia="仿宋_GB2312" w:cs="宋体"/>
                <w:kern w:val="0"/>
                <w:sz w:val="20"/>
                <w:szCs w:val="20"/>
              </w:rPr>
              <w:t>　/</w:t>
            </w:r>
          </w:p>
        </w:tc>
        <w:tc>
          <w:tcPr>
            <w:tcW w:w="2978" w:type="dxa"/>
            <w:tcBorders>
              <w:top w:val="nil"/>
              <w:left w:val="nil"/>
              <w:bottom w:val="single" w:color="auto" w:sz="4" w:space="0"/>
              <w:right w:val="single" w:color="auto" w:sz="4" w:space="0"/>
            </w:tcBorders>
            <w:shd w:val="clear" w:color="auto" w:fill="auto"/>
            <w:vAlign w:val="center"/>
          </w:tcPr>
          <w:p w14:paraId="527ACDD3">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每1小时折2个学分（超过半小时不足1小时部分，按1小时计算）</w:t>
            </w:r>
          </w:p>
        </w:tc>
      </w:tr>
      <w:tr w14:paraId="6A665758">
        <w:tblPrEx>
          <w:tblCellMar>
            <w:top w:w="0" w:type="dxa"/>
            <w:left w:w="108" w:type="dxa"/>
            <w:bottom w:w="0" w:type="dxa"/>
            <w:right w:w="108" w:type="dxa"/>
          </w:tblCellMar>
        </w:tblPrEx>
        <w:trPr>
          <w:trHeight w:val="879" w:hRule="atLeast"/>
          <w:jc w:val="center"/>
        </w:trPr>
        <w:tc>
          <w:tcPr>
            <w:tcW w:w="653" w:type="dxa"/>
            <w:tcBorders>
              <w:top w:val="nil"/>
              <w:left w:val="single" w:color="auto" w:sz="4" w:space="0"/>
              <w:bottom w:val="single" w:color="auto" w:sz="4" w:space="0"/>
              <w:right w:val="single" w:color="auto" w:sz="4" w:space="0"/>
            </w:tcBorders>
            <w:shd w:val="clear" w:color="auto" w:fill="auto"/>
            <w:noWrap/>
            <w:vAlign w:val="center"/>
          </w:tcPr>
          <w:p w14:paraId="74BB4AD8">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5</w:t>
            </w:r>
          </w:p>
        </w:tc>
        <w:tc>
          <w:tcPr>
            <w:tcW w:w="2831" w:type="dxa"/>
            <w:tcBorders>
              <w:top w:val="nil"/>
              <w:left w:val="nil"/>
              <w:bottom w:val="single" w:color="auto" w:sz="4" w:space="0"/>
              <w:right w:val="single" w:color="auto" w:sz="4" w:space="0"/>
            </w:tcBorders>
            <w:shd w:val="clear" w:color="auto" w:fill="auto"/>
            <w:vAlign w:val="center"/>
          </w:tcPr>
          <w:p w14:paraId="5033428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参与精算行业发展相关研究工作</w:t>
            </w:r>
          </w:p>
        </w:tc>
        <w:tc>
          <w:tcPr>
            <w:tcW w:w="7614" w:type="dxa"/>
            <w:gridSpan w:val="3"/>
            <w:tcBorders>
              <w:top w:val="single" w:color="auto" w:sz="4" w:space="0"/>
              <w:left w:val="nil"/>
              <w:bottom w:val="single" w:color="auto" w:sz="4" w:space="0"/>
              <w:right w:val="single" w:color="auto" w:sz="4" w:space="0"/>
            </w:tcBorders>
            <w:shd w:val="clear" w:color="auto" w:fill="auto"/>
            <w:vAlign w:val="center"/>
          </w:tcPr>
          <w:p w14:paraId="598CB4E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1.参加2024年大学生精算建模技能竞赛评审；2.其他精算行业发展研究工作。</w:t>
            </w:r>
          </w:p>
        </w:tc>
        <w:tc>
          <w:tcPr>
            <w:tcW w:w="645" w:type="dxa"/>
            <w:tcBorders>
              <w:top w:val="nil"/>
              <w:left w:val="nil"/>
              <w:bottom w:val="single" w:color="auto" w:sz="4" w:space="0"/>
              <w:right w:val="single" w:color="auto" w:sz="4" w:space="0"/>
            </w:tcBorders>
            <w:shd w:val="clear" w:color="auto" w:fill="auto"/>
            <w:vAlign w:val="center"/>
          </w:tcPr>
          <w:p w14:paraId="0605A731">
            <w:pPr>
              <w:widowControl/>
              <w:jc w:val="left"/>
              <w:rPr>
                <w:rFonts w:hint="eastAsia" w:ascii="仿宋_GB2312" w:hAnsi="等线" w:eastAsia="仿宋_GB2312" w:cs="宋体"/>
                <w:kern w:val="0"/>
                <w:sz w:val="20"/>
                <w:szCs w:val="20"/>
              </w:rPr>
            </w:pPr>
            <w:r>
              <w:rPr>
                <w:rFonts w:hint="eastAsia" w:ascii="仿宋_GB2312" w:hAnsi="等线" w:eastAsia="仿宋_GB2312" w:cs="宋体"/>
                <w:kern w:val="0"/>
                <w:sz w:val="20"/>
                <w:szCs w:val="20"/>
              </w:rPr>
              <w:t>　/</w:t>
            </w:r>
          </w:p>
        </w:tc>
        <w:tc>
          <w:tcPr>
            <w:tcW w:w="2978" w:type="dxa"/>
            <w:tcBorders>
              <w:top w:val="nil"/>
              <w:left w:val="nil"/>
              <w:bottom w:val="single" w:color="auto" w:sz="4" w:space="0"/>
              <w:right w:val="single" w:color="auto" w:sz="4" w:space="0"/>
            </w:tcBorders>
            <w:shd w:val="clear" w:color="auto" w:fill="auto"/>
            <w:vAlign w:val="center"/>
          </w:tcPr>
          <w:p w14:paraId="21EBB408">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每1小时折1个学分（超过半小时不足1小时部分，按1小时计算）</w:t>
            </w:r>
          </w:p>
        </w:tc>
      </w:tr>
      <w:tr w14:paraId="1CCE26B0">
        <w:tblPrEx>
          <w:tblCellMar>
            <w:top w:w="0" w:type="dxa"/>
            <w:left w:w="108" w:type="dxa"/>
            <w:bottom w:w="0" w:type="dxa"/>
            <w:right w:w="108" w:type="dxa"/>
          </w:tblCellMar>
        </w:tblPrEx>
        <w:trPr>
          <w:trHeight w:val="1493"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31ACE6">
            <w:pPr>
              <w:widowControl/>
              <w:jc w:val="center"/>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6</w:t>
            </w:r>
          </w:p>
        </w:tc>
        <w:tc>
          <w:tcPr>
            <w:tcW w:w="2831" w:type="dxa"/>
            <w:tcBorders>
              <w:top w:val="single" w:color="auto" w:sz="4" w:space="0"/>
              <w:left w:val="single" w:color="auto" w:sz="4" w:space="0"/>
              <w:bottom w:val="single" w:color="auto" w:sz="4" w:space="0"/>
              <w:right w:val="single" w:color="auto" w:sz="4" w:space="0"/>
            </w:tcBorders>
            <w:shd w:val="clear" w:color="auto" w:fill="auto"/>
            <w:vAlign w:val="center"/>
          </w:tcPr>
          <w:p w14:paraId="53C2DCE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参与国际精算事务，担任国际精算组织委员、顾问等职务并参加相关会议</w:t>
            </w:r>
          </w:p>
        </w:tc>
        <w:tc>
          <w:tcPr>
            <w:tcW w:w="761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5A172B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1.参加国际精算协会会议、志愿者活动等；</w:t>
            </w:r>
            <w:r>
              <w:rPr>
                <w:rFonts w:hint="eastAsia" w:ascii="仿宋_GB2312" w:hAnsi="等线" w:eastAsia="仿宋_GB2312" w:cs="宋体"/>
                <w:kern w:val="0"/>
                <w:sz w:val="20"/>
                <w:szCs w:val="20"/>
              </w:rPr>
              <w:br w:type="textWrapping"/>
            </w:r>
            <w:r>
              <w:rPr>
                <w:rFonts w:hint="eastAsia" w:ascii="仿宋_GB2312" w:hAnsi="等线" w:eastAsia="仿宋_GB2312" w:cs="宋体"/>
                <w:kern w:val="0"/>
                <w:sz w:val="20"/>
                <w:szCs w:val="20"/>
              </w:rPr>
              <w:t>2.参加亚洲精算大会；3.参加其他国际精算会议；</w:t>
            </w:r>
            <w:r>
              <w:rPr>
                <w:rFonts w:hint="eastAsia" w:ascii="仿宋_GB2312" w:hAnsi="等线" w:eastAsia="仿宋_GB2312" w:cs="宋体"/>
                <w:kern w:val="0"/>
                <w:sz w:val="20"/>
                <w:szCs w:val="20"/>
              </w:rPr>
              <w:br w:type="textWrapping"/>
            </w:r>
            <w:r>
              <w:rPr>
                <w:rFonts w:hint="eastAsia" w:ascii="仿宋_GB2312" w:hAnsi="等线" w:eastAsia="仿宋_GB2312" w:cs="宋体"/>
                <w:kern w:val="0"/>
                <w:sz w:val="20"/>
                <w:szCs w:val="20"/>
              </w:rPr>
              <w:t>4.整理、研究国际精算事务相关材料；5.其他国际精算相关工作。</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4DBBC148">
            <w:pPr>
              <w:widowControl/>
              <w:jc w:val="left"/>
              <w:rPr>
                <w:rFonts w:hint="eastAsia" w:ascii="仿宋_GB2312" w:hAnsi="等线" w:eastAsia="仿宋_GB2312" w:cs="宋体"/>
                <w:kern w:val="0"/>
                <w:sz w:val="20"/>
                <w:szCs w:val="20"/>
              </w:rPr>
            </w:pPr>
            <w:r>
              <w:rPr>
                <w:rFonts w:hint="eastAsia" w:ascii="仿宋_GB2312" w:hAnsi="等线" w:eastAsia="仿宋_GB2312" w:cs="宋体"/>
                <w:kern w:val="0"/>
                <w:sz w:val="20"/>
                <w:szCs w:val="20"/>
              </w:rPr>
              <w:t>　/</w:t>
            </w:r>
          </w:p>
        </w:tc>
        <w:tc>
          <w:tcPr>
            <w:tcW w:w="2978" w:type="dxa"/>
            <w:tcBorders>
              <w:top w:val="single" w:color="auto" w:sz="4" w:space="0"/>
              <w:left w:val="single" w:color="auto" w:sz="4" w:space="0"/>
              <w:bottom w:val="single" w:color="auto" w:sz="4" w:space="0"/>
              <w:right w:val="single" w:color="auto" w:sz="4" w:space="0"/>
            </w:tcBorders>
            <w:shd w:val="clear" w:color="auto" w:fill="auto"/>
            <w:vAlign w:val="center"/>
          </w:tcPr>
          <w:p w14:paraId="36F2D47A">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每1小时折1个学分（超过半小时不足1小时部分，按1小时计算）；整理、研究国际精算事务相关材料，每篇3千字以上5千字以下折3个学分；5千字以上折4个学分</w:t>
            </w:r>
          </w:p>
        </w:tc>
      </w:tr>
      <w:tr w14:paraId="461D9D2B">
        <w:tblPrEx>
          <w:tblCellMar>
            <w:top w:w="0" w:type="dxa"/>
            <w:left w:w="108" w:type="dxa"/>
            <w:bottom w:w="0" w:type="dxa"/>
            <w:right w:w="108" w:type="dxa"/>
          </w:tblCellMar>
        </w:tblPrEx>
        <w:trPr>
          <w:trHeight w:val="840"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AEE3A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7</w:t>
            </w:r>
          </w:p>
        </w:tc>
        <w:tc>
          <w:tcPr>
            <w:tcW w:w="2831" w:type="dxa"/>
            <w:tcBorders>
              <w:top w:val="single" w:color="auto" w:sz="4" w:space="0"/>
              <w:left w:val="nil"/>
              <w:bottom w:val="single" w:color="auto" w:sz="4" w:space="0"/>
              <w:right w:val="single" w:color="auto" w:sz="4" w:space="0"/>
            </w:tcBorders>
            <w:shd w:val="clear" w:color="auto" w:fill="auto"/>
            <w:vAlign w:val="center"/>
          </w:tcPr>
          <w:p w14:paraId="6F60AD4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公开发表精算专业著作、论文等</w:t>
            </w:r>
          </w:p>
        </w:tc>
        <w:tc>
          <w:tcPr>
            <w:tcW w:w="7614" w:type="dxa"/>
            <w:gridSpan w:val="3"/>
            <w:tcBorders>
              <w:top w:val="single" w:color="auto" w:sz="4" w:space="0"/>
              <w:left w:val="nil"/>
              <w:bottom w:val="single" w:color="auto" w:sz="4" w:space="0"/>
              <w:right w:val="single" w:color="auto" w:sz="4" w:space="0"/>
            </w:tcBorders>
            <w:shd w:val="clear" w:color="000000" w:fill="FFFFFF"/>
            <w:vAlign w:val="center"/>
          </w:tcPr>
          <w:p w14:paraId="6AE533D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1.在《中国人文社会科学期刊AMI综合评价报告》所列相关期刊发表精算专业著作、论文；2.在《科学引文索引》（SCI）发表精算专业著作、论文；3.在中央部委、监管部门主管的媒体发表署名文章。</w:t>
            </w:r>
          </w:p>
        </w:tc>
        <w:tc>
          <w:tcPr>
            <w:tcW w:w="645" w:type="dxa"/>
            <w:tcBorders>
              <w:top w:val="single" w:color="auto" w:sz="4" w:space="0"/>
              <w:left w:val="nil"/>
              <w:bottom w:val="single" w:color="auto" w:sz="4" w:space="0"/>
              <w:right w:val="single" w:color="auto" w:sz="4" w:space="0"/>
            </w:tcBorders>
            <w:shd w:val="clear" w:color="auto" w:fill="auto"/>
            <w:vAlign w:val="center"/>
          </w:tcPr>
          <w:p w14:paraId="7601D8D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　/</w:t>
            </w:r>
          </w:p>
        </w:tc>
        <w:tc>
          <w:tcPr>
            <w:tcW w:w="2978" w:type="dxa"/>
            <w:tcBorders>
              <w:top w:val="single" w:color="auto" w:sz="4" w:space="0"/>
              <w:left w:val="nil"/>
              <w:bottom w:val="single" w:color="auto" w:sz="4" w:space="0"/>
              <w:right w:val="single" w:color="auto" w:sz="4" w:space="0"/>
            </w:tcBorders>
            <w:shd w:val="clear" w:color="auto" w:fill="auto"/>
            <w:vAlign w:val="center"/>
          </w:tcPr>
          <w:p w14:paraId="3FE8194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每篇3千字以上5千字以下折3个学分；5千字以上折4个学分</w:t>
            </w:r>
          </w:p>
        </w:tc>
      </w:tr>
      <w:tr w14:paraId="17DE5045">
        <w:tblPrEx>
          <w:tblCellMar>
            <w:top w:w="0" w:type="dxa"/>
            <w:left w:w="108" w:type="dxa"/>
            <w:bottom w:w="0" w:type="dxa"/>
            <w:right w:w="108" w:type="dxa"/>
          </w:tblCellMar>
        </w:tblPrEx>
        <w:trPr>
          <w:trHeight w:val="1253" w:hRule="atLeast"/>
          <w:jc w:val="center"/>
        </w:trPr>
        <w:tc>
          <w:tcPr>
            <w:tcW w:w="653" w:type="dxa"/>
            <w:tcBorders>
              <w:top w:val="nil"/>
              <w:left w:val="single" w:color="auto" w:sz="4" w:space="0"/>
              <w:bottom w:val="single" w:color="auto" w:sz="4" w:space="0"/>
              <w:right w:val="single" w:color="auto" w:sz="4" w:space="0"/>
            </w:tcBorders>
            <w:shd w:val="clear" w:color="auto" w:fill="auto"/>
            <w:noWrap/>
            <w:vAlign w:val="center"/>
          </w:tcPr>
          <w:p w14:paraId="79234A31">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8</w:t>
            </w:r>
          </w:p>
        </w:tc>
        <w:tc>
          <w:tcPr>
            <w:tcW w:w="2831" w:type="dxa"/>
            <w:tcBorders>
              <w:top w:val="nil"/>
              <w:left w:val="nil"/>
              <w:bottom w:val="single" w:color="auto" w:sz="4" w:space="0"/>
              <w:right w:val="single" w:color="auto" w:sz="4" w:space="0"/>
            </w:tcBorders>
            <w:shd w:val="clear" w:color="auto" w:fill="auto"/>
            <w:vAlign w:val="center"/>
          </w:tcPr>
          <w:p w14:paraId="59E2364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参与会员管理、会议筹备等精算行业相关工作</w:t>
            </w:r>
          </w:p>
        </w:tc>
        <w:tc>
          <w:tcPr>
            <w:tcW w:w="7614" w:type="dxa"/>
            <w:gridSpan w:val="3"/>
            <w:tcBorders>
              <w:top w:val="single" w:color="auto" w:sz="4" w:space="0"/>
              <w:left w:val="nil"/>
              <w:bottom w:val="single" w:color="auto" w:sz="4" w:space="0"/>
              <w:right w:val="single" w:color="auto" w:sz="4" w:space="0"/>
            </w:tcBorders>
            <w:shd w:val="clear" w:color="auto" w:fill="auto"/>
            <w:vAlign w:val="center"/>
          </w:tcPr>
          <w:p w14:paraId="5648509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1.担任各单位会员联系人（拟为学分3分/年）；</w:t>
            </w:r>
            <w:r>
              <w:rPr>
                <w:rFonts w:hint="eastAsia" w:ascii="仿宋_GB2312" w:hAnsi="等线" w:eastAsia="仿宋_GB2312" w:cs="宋体"/>
                <w:kern w:val="0"/>
                <w:sz w:val="20"/>
                <w:szCs w:val="20"/>
              </w:rPr>
              <w:br w:type="textWrapping"/>
            </w:r>
            <w:r>
              <w:rPr>
                <w:rFonts w:hint="eastAsia" w:ascii="仿宋_GB2312" w:hAnsi="等线" w:eastAsia="仿宋_GB2312" w:cs="宋体"/>
                <w:kern w:val="0"/>
                <w:sz w:val="20"/>
                <w:szCs w:val="20"/>
              </w:rPr>
              <w:t>2.参加协会现场会议及培训组织筹备，具体时间包括会场筹备、会前签到、会议指引等会议召开前组织工作，以及会议召开后，场外服务时间。3.借调协会参与会员管理，会议筹备、项目研究、国际精算事务等行业相关工作（拟为学分6分/月）。</w:t>
            </w:r>
          </w:p>
        </w:tc>
        <w:tc>
          <w:tcPr>
            <w:tcW w:w="645" w:type="dxa"/>
            <w:tcBorders>
              <w:top w:val="nil"/>
              <w:left w:val="nil"/>
              <w:bottom w:val="single" w:color="auto" w:sz="4" w:space="0"/>
              <w:right w:val="single" w:color="auto" w:sz="4" w:space="0"/>
            </w:tcBorders>
            <w:shd w:val="clear" w:color="auto" w:fill="auto"/>
            <w:vAlign w:val="center"/>
          </w:tcPr>
          <w:p w14:paraId="2F4805F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　/</w:t>
            </w:r>
          </w:p>
        </w:tc>
        <w:tc>
          <w:tcPr>
            <w:tcW w:w="2978" w:type="dxa"/>
            <w:tcBorders>
              <w:top w:val="nil"/>
              <w:left w:val="nil"/>
              <w:bottom w:val="single" w:color="auto" w:sz="4" w:space="0"/>
              <w:right w:val="single" w:color="auto" w:sz="4" w:space="0"/>
            </w:tcBorders>
            <w:shd w:val="clear" w:color="auto" w:fill="auto"/>
            <w:vAlign w:val="center"/>
          </w:tcPr>
          <w:p w14:paraId="791AE55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每1小时折1个学分（超过半小时不足1小时部分，按1小时计算）</w:t>
            </w:r>
          </w:p>
        </w:tc>
      </w:tr>
      <w:tr w14:paraId="19FB621F">
        <w:tblPrEx>
          <w:tblCellMar>
            <w:top w:w="0" w:type="dxa"/>
            <w:left w:w="108" w:type="dxa"/>
            <w:bottom w:w="0" w:type="dxa"/>
            <w:right w:w="108" w:type="dxa"/>
          </w:tblCellMar>
        </w:tblPrEx>
        <w:trPr>
          <w:trHeight w:val="1275" w:hRule="atLeast"/>
          <w:jc w:val="center"/>
        </w:trPr>
        <w:tc>
          <w:tcPr>
            <w:tcW w:w="653" w:type="dxa"/>
            <w:tcBorders>
              <w:top w:val="nil"/>
              <w:left w:val="single" w:color="auto" w:sz="4" w:space="0"/>
              <w:bottom w:val="single" w:color="auto" w:sz="4" w:space="0"/>
              <w:right w:val="single" w:color="auto" w:sz="4" w:space="0"/>
            </w:tcBorders>
            <w:shd w:val="clear" w:color="auto" w:fill="auto"/>
            <w:noWrap/>
            <w:vAlign w:val="center"/>
          </w:tcPr>
          <w:p w14:paraId="46BA2A21">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9</w:t>
            </w:r>
          </w:p>
        </w:tc>
        <w:tc>
          <w:tcPr>
            <w:tcW w:w="2831" w:type="dxa"/>
            <w:tcBorders>
              <w:top w:val="nil"/>
              <w:left w:val="nil"/>
              <w:bottom w:val="single" w:color="auto" w:sz="4" w:space="0"/>
              <w:right w:val="single" w:color="auto" w:sz="4" w:space="0"/>
            </w:tcBorders>
            <w:shd w:val="clear" w:color="auto" w:fill="auto"/>
            <w:vAlign w:val="center"/>
          </w:tcPr>
          <w:p w14:paraId="6EEEFD4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参加精算及相关专业学位教育（含当年取得学位）的，可确认15个学分；参加其他专业学位教育（含当年取得学位）的，可确认9个学分</w:t>
            </w:r>
          </w:p>
        </w:tc>
        <w:tc>
          <w:tcPr>
            <w:tcW w:w="7614" w:type="dxa"/>
            <w:gridSpan w:val="3"/>
            <w:tcBorders>
              <w:top w:val="single" w:color="auto" w:sz="4" w:space="0"/>
              <w:left w:val="nil"/>
              <w:bottom w:val="single" w:color="auto" w:sz="4" w:space="0"/>
              <w:right w:val="single" w:color="auto" w:sz="4" w:space="0"/>
            </w:tcBorders>
            <w:shd w:val="clear" w:color="auto" w:fill="auto"/>
            <w:vAlign w:val="center"/>
          </w:tcPr>
          <w:p w14:paraId="61770C4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w:t>
            </w:r>
          </w:p>
        </w:tc>
        <w:tc>
          <w:tcPr>
            <w:tcW w:w="645" w:type="dxa"/>
            <w:tcBorders>
              <w:top w:val="nil"/>
              <w:left w:val="nil"/>
              <w:bottom w:val="single" w:color="auto" w:sz="4" w:space="0"/>
              <w:right w:val="single" w:color="auto" w:sz="4" w:space="0"/>
            </w:tcBorders>
            <w:shd w:val="clear" w:color="auto" w:fill="auto"/>
            <w:vAlign w:val="center"/>
          </w:tcPr>
          <w:p w14:paraId="2F1E829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　/</w:t>
            </w:r>
          </w:p>
        </w:tc>
        <w:tc>
          <w:tcPr>
            <w:tcW w:w="2978" w:type="dxa"/>
            <w:tcBorders>
              <w:top w:val="nil"/>
              <w:left w:val="nil"/>
              <w:bottom w:val="single" w:color="auto" w:sz="4" w:space="0"/>
              <w:right w:val="single" w:color="auto" w:sz="4" w:space="0"/>
            </w:tcBorders>
            <w:shd w:val="clear" w:color="auto" w:fill="auto"/>
            <w:vAlign w:val="center"/>
          </w:tcPr>
          <w:p w14:paraId="4083C3C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15学分、9学分</w:t>
            </w:r>
          </w:p>
        </w:tc>
      </w:tr>
      <w:tr w14:paraId="49B9423B">
        <w:tblPrEx>
          <w:tblCellMar>
            <w:top w:w="0" w:type="dxa"/>
            <w:left w:w="108" w:type="dxa"/>
            <w:bottom w:w="0" w:type="dxa"/>
            <w:right w:w="108" w:type="dxa"/>
          </w:tblCellMar>
        </w:tblPrEx>
        <w:trPr>
          <w:trHeight w:val="510" w:hRule="atLeast"/>
          <w:jc w:val="center"/>
        </w:trPr>
        <w:tc>
          <w:tcPr>
            <w:tcW w:w="653" w:type="dxa"/>
            <w:tcBorders>
              <w:top w:val="nil"/>
              <w:left w:val="single" w:color="auto" w:sz="4" w:space="0"/>
              <w:bottom w:val="single" w:color="auto" w:sz="4" w:space="0"/>
              <w:right w:val="single" w:color="auto" w:sz="4" w:space="0"/>
            </w:tcBorders>
            <w:shd w:val="clear" w:color="auto" w:fill="auto"/>
            <w:noWrap/>
            <w:vAlign w:val="center"/>
          </w:tcPr>
          <w:p w14:paraId="5BF00026">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10</w:t>
            </w:r>
          </w:p>
        </w:tc>
        <w:tc>
          <w:tcPr>
            <w:tcW w:w="2831" w:type="dxa"/>
            <w:tcBorders>
              <w:top w:val="nil"/>
              <w:left w:val="nil"/>
              <w:bottom w:val="single" w:color="auto" w:sz="4" w:space="0"/>
              <w:right w:val="single" w:color="auto" w:sz="4" w:space="0"/>
            </w:tcBorders>
            <w:shd w:val="clear" w:color="auto" w:fill="auto"/>
            <w:vAlign w:val="center"/>
          </w:tcPr>
          <w:p w14:paraId="2142972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在高校担任精算教师或承担精算学科教学任务的</w:t>
            </w:r>
          </w:p>
        </w:tc>
        <w:tc>
          <w:tcPr>
            <w:tcW w:w="7614" w:type="dxa"/>
            <w:gridSpan w:val="3"/>
            <w:tcBorders>
              <w:top w:val="single" w:color="auto" w:sz="4" w:space="0"/>
              <w:left w:val="nil"/>
              <w:bottom w:val="single" w:color="auto" w:sz="4" w:space="0"/>
              <w:right w:val="single" w:color="auto" w:sz="4" w:space="0"/>
            </w:tcBorders>
            <w:shd w:val="clear" w:color="auto" w:fill="auto"/>
            <w:vAlign w:val="center"/>
          </w:tcPr>
          <w:p w14:paraId="12AEB6B3">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w:t>
            </w:r>
          </w:p>
        </w:tc>
        <w:tc>
          <w:tcPr>
            <w:tcW w:w="645" w:type="dxa"/>
            <w:tcBorders>
              <w:top w:val="nil"/>
              <w:left w:val="nil"/>
              <w:bottom w:val="single" w:color="auto" w:sz="4" w:space="0"/>
              <w:right w:val="single" w:color="auto" w:sz="4" w:space="0"/>
            </w:tcBorders>
            <w:shd w:val="clear" w:color="auto" w:fill="auto"/>
            <w:vAlign w:val="center"/>
          </w:tcPr>
          <w:p w14:paraId="53A3B59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　/</w:t>
            </w:r>
          </w:p>
        </w:tc>
        <w:tc>
          <w:tcPr>
            <w:tcW w:w="2978" w:type="dxa"/>
            <w:tcBorders>
              <w:top w:val="nil"/>
              <w:left w:val="nil"/>
              <w:bottom w:val="single" w:color="auto" w:sz="4" w:space="0"/>
              <w:right w:val="single" w:color="auto" w:sz="4" w:space="0"/>
            </w:tcBorders>
            <w:shd w:val="clear" w:color="auto" w:fill="auto"/>
            <w:vAlign w:val="center"/>
          </w:tcPr>
          <w:p w14:paraId="4A7A1D0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任职期间每年可确认15个学分</w:t>
            </w:r>
          </w:p>
        </w:tc>
      </w:tr>
      <w:tr w14:paraId="1D57BB76">
        <w:tblPrEx>
          <w:tblCellMar>
            <w:top w:w="0" w:type="dxa"/>
            <w:left w:w="108" w:type="dxa"/>
            <w:bottom w:w="0" w:type="dxa"/>
            <w:right w:w="108" w:type="dxa"/>
          </w:tblCellMar>
        </w:tblPrEx>
        <w:trPr>
          <w:trHeight w:val="1020" w:hRule="atLeast"/>
          <w:jc w:val="center"/>
        </w:trPr>
        <w:tc>
          <w:tcPr>
            <w:tcW w:w="653" w:type="dxa"/>
            <w:tcBorders>
              <w:top w:val="nil"/>
              <w:left w:val="single" w:color="auto" w:sz="4" w:space="0"/>
              <w:bottom w:val="single" w:color="auto" w:sz="4" w:space="0"/>
              <w:right w:val="single" w:color="auto" w:sz="4" w:space="0"/>
            </w:tcBorders>
            <w:shd w:val="clear" w:color="auto" w:fill="auto"/>
            <w:noWrap/>
            <w:vAlign w:val="center"/>
          </w:tcPr>
          <w:p w14:paraId="632EA85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11</w:t>
            </w:r>
          </w:p>
        </w:tc>
        <w:tc>
          <w:tcPr>
            <w:tcW w:w="2831" w:type="dxa"/>
            <w:tcBorders>
              <w:top w:val="nil"/>
              <w:left w:val="nil"/>
              <w:bottom w:val="single" w:color="auto" w:sz="4" w:space="0"/>
              <w:right w:val="single" w:color="auto" w:sz="4" w:space="0"/>
            </w:tcBorders>
            <w:shd w:val="clear" w:color="auto" w:fill="auto"/>
            <w:vAlign w:val="center"/>
          </w:tcPr>
          <w:p w14:paraId="0FFD532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参加会员代表大会、理事会、常务理事会</w:t>
            </w:r>
          </w:p>
        </w:tc>
        <w:tc>
          <w:tcPr>
            <w:tcW w:w="7614" w:type="dxa"/>
            <w:gridSpan w:val="3"/>
            <w:tcBorders>
              <w:top w:val="single" w:color="auto" w:sz="4" w:space="0"/>
              <w:left w:val="nil"/>
              <w:bottom w:val="single" w:color="auto" w:sz="4" w:space="0"/>
              <w:right w:val="single" w:color="auto" w:sz="4" w:space="0"/>
            </w:tcBorders>
            <w:shd w:val="clear" w:color="auto" w:fill="auto"/>
            <w:vAlign w:val="center"/>
          </w:tcPr>
          <w:p w14:paraId="046B931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参加协会会员代表大会、理事会、常务理事会，并对议案进行审议表决。</w:t>
            </w:r>
          </w:p>
        </w:tc>
        <w:tc>
          <w:tcPr>
            <w:tcW w:w="645" w:type="dxa"/>
            <w:tcBorders>
              <w:top w:val="nil"/>
              <w:left w:val="nil"/>
              <w:bottom w:val="single" w:color="auto" w:sz="4" w:space="0"/>
              <w:right w:val="single" w:color="auto" w:sz="4" w:space="0"/>
            </w:tcBorders>
            <w:shd w:val="clear" w:color="auto" w:fill="auto"/>
            <w:vAlign w:val="center"/>
          </w:tcPr>
          <w:p w14:paraId="2DF70C1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　/</w:t>
            </w:r>
          </w:p>
        </w:tc>
        <w:tc>
          <w:tcPr>
            <w:tcW w:w="2978" w:type="dxa"/>
            <w:tcBorders>
              <w:top w:val="nil"/>
              <w:left w:val="nil"/>
              <w:bottom w:val="single" w:color="auto" w:sz="4" w:space="0"/>
              <w:right w:val="single" w:color="auto" w:sz="4" w:space="0"/>
            </w:tcBorders>
            <w:shd w:val="clear" w:color="auto" w:fill="auto"/>
            <w:vAlign w:val="center"/>
          </w:tcPr>
          <w:p w14:paraId="79967D7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通讯形式1分/次，线上会议1分/半天，现场会议2分/半天（超过半天按照实际情况累加计算，例如现场会议4分/天）。</w:t>
            </w:r>
          </w:p>
        </w:tc>
      </w:tr>
      <w:tr w14:paraId="7E8C85FF">
        <w:tblPrEx>
          <w:tblCellMar>
            <w:top w:w="0" w:type="dxa"/>
            <w:left w:w="108" w:type="dxa"/>
            <w:bottom w:w="0" w:type="dxa"/>
            <w:right w:w="108" w:type="dxa"/>
          </w:tblCellMar>
        </w:tblPrEx>
        <w:trPr>
          <w:trHeight w:val="660" w:hRule="atLeast"/>
          <w:jc w:val="center"/>
        </w:trPr>
        <w:tc>
          <w:tcPr>
            <w:tcW w:w="653" w:type="dxa"/>
            <w:tcBorders>
              <w:top w:val="nil"/>
              <w:left w:val="single" w:color="auto" w:sz="4" w:space="0"/>
              <w:bottom w:val="single" w:color="auto" w:sz="4" w:space="0"/>
              <w:right w:val="single" w:color="auto" w:sz="4" w:space="0"/>
            </w:tcBorders>
            <w:shd w:val="clear" w:color="auto" w:fill="auto"/>
            <w:noWrap/>
            <w:vAlign w:val="center"/>
          </w:tcPr>
          <w:p w14:paraId="49BF5C22">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12</w:t>
            </w:r>
          </w:p>
        </w:tc>
        <w:tc>
          <w:tcPr>
            <w:tcW w:w="2831" w:type="dxa"/>
            <w:tcBorders>
              <w:top w:val="nil"/>
              <w:left w:val="nil"/>
              <w:bottom w:val="single" w:color="auto" w:sz="4" w:space="0"/>
              <w:right w:val="single" w:color="auto" w:sz="4" w:space="0"/>
            </w:tcBorders>
            <w:shd w:val="clear" w:color="auto" w:fill="auto"/>
            <w:vAlign w:val="center"/>
          </w:tcPr>
          <w:p w14:paraId="4D3E5C0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参与协会建设及重大事项等工作</w:t>
            </w:r>
          </w:p>
        </w:tc>
        <w:tc>
          <w:tcPr>
            <w:tcW w:w="7614" w:type="dxa"/>
            <w:gridSpan w:val="3"/>
            <w:tcBorders>
              <w:top w:val="single" w:color="auto" w:sz="4" w:space="0"/>
              <w:left w:val="nil"/>
              <w:bottom w:val="single" w:color="auto" w:sz="4" w:space="0"/>
              <w:right w:val="single" w:color="auto" w:sz="4" w:space="0"/>
            </w:tcBorders>
            <w:shd w:val="clear" w:color="auto" w:fill="auto"/>
            <w:vAlign w:val="center"/>
          </w:tcPr>
          <w:p w14:paraId="6C5CF33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1.担任协会招聘面试官；2.担任协会招标项目评审专家。</w:t>
            </w:r>
          </w:p>
        </w:tc>
        <w:tc>
          <w:tcPr>
            <w:tcW w:w="645" w:type="dxa"/>
            <w:tcBorders>
              <w:top w:val="nil"/>
              <w:left w:val="nil"/>
              <w:bottom w:val="single" w:color="auto" w:sz="4" w:space="0"/>
              <w:right w:val="single" w:color="auto" w:sz="4" w:space="0"/>
            </w:tcBorders>
            <w:shd w:val="clear" w:color="auto" w:fill="auto"/>
            <w:vAlign w:val="center"/>
          </w:tcPr>
          <w:p w14:paraId="44EBAF8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　/</w:t>
            </w:r>
          </w:p>
        </w:tc>
        <w:tc>
          <w:tcPr>
            <w:tcW w:w="2978" w:type="dxa"/>
            <w:tcBorders>
              <w:top w:val="nil"/>
              <w:left w:val="nil"/>
              <w:bottom w:val="single" w:color="auto" w:sz="4" w:space="0"/>
              <w:right w:val="single" w:color="auto" w:sz="4" w:space="0"/>
            </w:tcBorders>
            <w:shd w:val="clear" w:color="auto" w:fill="auto"/>
            <w:vAlign w:val="center"/>
          </w:tcPr>
          <w:p w14:paraId="20B944A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线上参与1分/次，现场参加2分/次。</w:t>
            </w:r>
          </w:p>
        </w:tc>
      </w:tr>
      <w:tr w14:paraId="3A1AEC38">
        <w:tblPrEx>
          <w:tblCellMar>
            <w:top w:w="0" w:type="dxa"/>
            <w:left w:w="108" w:type="dxa"/>
            <w:bottom w:w="0" w:type="dxa"/>
            <w:right w:w="108" w:type="dxa"/>
          </w:tblCellMar>
        </w:tblPrEx>
        <w:trPr>
          <w:trHeight w:val="510" w:hRule="atLeast"/>
          <w:jc w:val="center"/>
        </w:trPr>
        <w:tc>
          <w:tcPr>
            <w:tcW w:w="653" w:type="dxa"/>
            <w:tcBorders>
              <w:top w:val="nil"/>
              <w:left w:val="single" w:color="auto" w:sz="4" w:space="0"/>
              <w:bottom w:val="single" w:color="auto" w:sz="4" w:space="0"/>
              <w:right w:val="single" w:color="auto" w:sz="4" w:space="0"/>
            </w:tcBorders>
            <w:shd w:val="clear" w:color="auto" w:fill="auto"/>
            <w:noWrap/>
            <w:vAlign w:val="center"/>
          </w:tcPr>
          <w:p w14:paraId="6FFD901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仿宋_GB2312" w:hAnsi="等线" w:eastAsia="仿宋_GB2312" w:cs="宋体"/>
                <w:color w:val="000000"/>
                <w:kern w:val="0"/>
                <w:sz w:val="22"/>
              </w:rPr>
            </w:pPr>
            <w:r>
              <w:rPr>
                <w:rFonts w:hint="eastAsia" w:ascii="仿宋_GB2312" w:hAnsi="等线" w:eastAsia="仿宋_GB2312" w:cs="宋体"/>
                <w:color w:val="000000"/>
                <w:kern w:val="0"/>
                <w:sz w:val="22"/>
              </w:rPr>
              <w:t>13</w:t>
            </w:r>
          </w:p>
        </w:tc>
        <w:tc>
          <w:tcPr>
            <w:tcW w:w="2831" w:type="dxa"/>
            <w:tcBorders>
              <w:top w:val="nil"/>
              <w:left w:val="nil"/>
              <w:bottom w:val="single" w:color="auto" w:sz="4" w:space="0"/>
              <w:right w:val="single" w:color="auto" w:sz="4" w:space="0"/>
            </w:tcBorders>
            <w:shd w:val="clear" w:color="auto" w:fill="auto"/>
            <w:vAlign w:val="center"/>
          </w:tcPr>
          <w:p w14:paraId="6D8D46A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《中国精算师》刊物相关工作</w:t>
            </w:r>
          </w:p>
        </w:tc>
        <w:tc>
          <w:tcPr>
            <w:tcW w:w="7614" w:type="dxa"/>
            <w:gridSpan w:val="3"/>
            <w:tcBorders>
              <w:top w:val="single" w:color="auto" w:sz="4" w:space="0"/>
              <w:left w:val="nil"/>
              <w:bottom w:val="single" w:color="auto" w:sz="4" w:space="0"/>
              <w:right w:val="single" w:color="auto" w:sz="4" w:space="0"/>
            </w:tcBorders>
            <w:shd w:val="clear" w:color="auto" w:fill="auto"/>
            <w:vAlign w:val="center"/>
          </w:tcPr>
          <w:p w14:paraId="5FDB4F9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精算刊物审稿、投稿并录用。</w:t>
            </w:r>
          </w:p>
        </w:tc>
        <w:tc>
          <w:tcPr>
            <w:tcW w:w="645" w:type="dxa"/>
            <w:tcBorders>
              <w:top w:val="nil"/>
              <w:left w:val="nil"/>
              <w:bottom w:val="single" w:color="auto" w:sz="4" w:space="0"/>
              <w:right w:val="single" w:color="auto" w:sz="4" w:space="0"/>
            </w:tcBorders>
            <w:shd w:val="clear" w:color="auto" w:fill="auto"/>
            <w:vAlign w:val="center"/>
          </w:tcPr>
          <w:p w14:paraId="7B899AF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　/</w:t>
            </w:r>
          </w:p>
        </w:tc>
        <w:tc>
          <w:tcPr>
            <w:tcW w:w="2978" w:type="dxa"/>
            <w:tcBorders>
              <w:top w:val="nil"/>
              <w:left w:val="nil"/>
              <w:bottom w:val="single" w:color="auto" w:sz="4" w:space="0"/>
              <w:right w:val="single" w:color="auto" w:sz="4" w:space="0"/>
            </w:tcBorders>
            <w:shd w:val="clear" w:color="auto" w:fill="auto"/>
            <w:vAlign w:val="center"/>
          </w:tcPr>
          <w:p w14:paraId="6909DAC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仿宋_GB2312" w:hAnsi="等线" w:eastAsia="仿宋_GB2312" w:cs="宋体"/>
                <w:kern w:val="0"/>
                <w:sz w:val="20"/>
                <w:szCs w:val="20"/>
              </w:rPr>
            </w:pPr>
            <w:r>
              <w:rPr>
                <w:rFonts w:hint="eastAsia" w:ascii="仿宋_GB2312" w:hAnsi="等线" w:eastAsia="仿宋_GB2312" w:cs="宋体"/>
                <w:kern w:val="0"/>
                <w:sz w:val="20"/>
                <w:szCs w:val="20"/>
              </w:rPr>
              <w:t>审稿：1分/次</w:t>
            </w:r>
            <w:r>
              <w:rPr>
                <w:rFonts w:hint="eastAsia" w:ascii="仿宋_GB2312" w:hAnsi="等线" w:eastAsia="仿宋_GB2312" w:cs="宋体"/>
                <w:kern w:val="0"/>
                <w:sz w:val="20"/>
                <w:szCs w:val="20"/>
              </w:rPr>
              <w:br w:type="textWrapping"/>
            </w:r>
            <w:r>
              <w:rPr>
                <w:rFonts w:hint="eastAsia" w:ascii="仿宋_GB2312" w:hAnsi="等线" w:eastAsia="仿宋_GB2312" w:cs="宋体"/>
                <w:kern w:val="0"/>
                <w:sz w:val="20"/>
                <w:szCs w:val="20"/>
              </w:rPr>
              <w:t>稿件录用：2分/篇</w:t>
            </w:r>
          </w:p>
        </w:tc>
      </w:tr>
    </w:tbl>
    <w:p w14:paraId="6D01745D"/>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CD3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2024-12-26T01:49:39Z</dcterms:created>
  <dc:creator>冉英欣</dc:creator>
  <cp:lastModifiedBy>冉</cp:lastModifiedBy>
  <dcterms:modified xsi:type="dcterms:W3CDTF">2024-12-26T01:50:55Z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4A54B4A499854F919A58701790868B6D_12</vt:lpwstr>
  </property>
</Properties>
</file>