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4DD24">
      <w:pPr>
        <w:spacing w:line="360" w:lineRule="auto"/>
        <w:jc w:val="left"/>
        <w:rPr>
          <w:rFonts w:hint="eastAsia" w:ascii="黑体" w:hAnsi="黑体" w:eastAsia="黑体" w:cs="黑体"/>
          <w:bCs/>
          <w:sz w:val="32"/>
          <w:szCs w:val="32"/>
        </w:rPr>
      </w:pPr>
      <w:r>
        <w:rPr>
          <w:rFonts w:hint="eastAsia" w:ascii="黑体" w:hAnsi="黑体" w:eastAsia="黑体" w:cs="黑体"/>
          <w:bCs/>
          <w:sz w:val="32"/>
          <w:szCs w:val="32"/>
        </w:rPr>
        <w:t>附件</w:t>
      </w:r>
      <w:r>
        <w:rPr>
          <w:rFonts w:ascii="黑体" w:hAnsi="黑体" w:eastAsia="黑体" w:cs="黑体"/>
          <w:bCs/>
          <w:sz w:val="32"/>
          <w:szCs w:val="32"/>
        </w:rPr>
        <w:t>4</w:t>
      </w:r>
    </w:p>
    <w:p w14:paraId="707486F1">
      <w:pPr>
        <w:spacing w:line="360" w:lineRule="auto"/>
        <w:jc w:val="left"/>
        <w:rPr>
          <w:rFonts w:hint="eastAsia" w:ascii="黑体" w:hAnsi="黑体" w:eastAsia="黑体" w:cs="黑体"/>
          <w:bCs/>
          <w:sz w:val="32"/>
          <w:szCs w:val="32"/>
        </w:rPr>
      </w:pPr>
    </w:p>
    <w:p w14:paraId="4169B5B9">
      <w:pPr>
        <w:tabs>
          <w:tab w:val="center" w:pos="4366"/>
        </w:tabs>
        <w:spacing w:line="560" w:lineRule="exact"/>
        <w:jc w:val="center"/>
        <w:outlineLvl w:val="0"/>
        <w:rPr>
          <w:rFonts w:hint="eastAsia" w:ascii="方正小标宋简体" w:eastAsia="方正小标宋简体"/>
          <w:bCs/>
          <w:sz w:val="44"/>
          <w:szCs w:val="44"/>
        </w:rPr>
      </w:pPr>
      <w:bookmarkStart w:id="2" w:name="_GoBack"/>
      <w:bookmarkStart w:id="0" w:name="_Toc482989415"/>
      <w:bookmarkStart w:id="1" w:name="_Toc394492075"/>
      <w:r>
        <w:rPr>
          <w:rFonts w:hint="eastAsia" w:ascii="方正小标宋简体" w:eastAsia="方正小标宋简体"/>
          <w:bCs/>
          <w:sz w:val="44"/>
          <w:szCs w:val="44"/>
        </w:rPr>
        <w:t>中国精算师协会会员继续教育暂行办法</w:t>
      </w:r>
      <w:bookmarkEnd w:id="0"/>
      <w:bookmarkEnd w:id="1"/>
    </w:p>
    <w:bookmarkEnd w:id="2"/>
    <w:p w14:paraId="7277486C">
      <w:pPr>
        <w:spacing w:line="560" w:lineRule="exact"/>
        <w:rPr>
          <w:rFonts w:hint="eastAsia" w:ascii="仿宋" w:hAnsi="仿宋" w:eastAsia="仿宋" w:cs="仿宋"/>
          <w:b/>
          <w:bCs/>
          <w:sz w:val="36"/>
        </w:rPr>
      </w:pPr>
    </w:p>
    <w:p w14:paraId="65224CA5">
      <w:pPr>
        <w:pStyle w:val="5"/>
        <w:numPr>
          <w:ilvl w:val="0"/>
          <w:numId w:val="1"/>
        </w:numPr>
        <w:spacing w:line="560" w:lineRule="exact"/>
        <w:ind w:firstLineChars="0"/>
        <w:jc w:val="center"/>
        <w:rPr>
          <w:rFonts w:hint="eastAsia" w:ascii="黑体" w:hAnsi="黑体" w:eastAsia="黑体" w:cs="黑体"/>
          <w:sz w:val="32"/>
          <w:szCs w:val="32"/>
        </w:rPr>
      </w:pPr>
      <w:r>
        <w:rPr>
          <w:rFonts w:hint="eastAsia" w:ascii="黑体" w:hAnsi="黑体" w:eastAsia="黑体" w:cs="黑体"/>
          <w:sz w:val="32"/>
          <w:szCs w:val="32"/>
        </w:rPr>
        <w:t>总则</w:t>
      </w:r>
    </w:p>
    <w:p w14:paraId="6FE3480E">
      <w:pPr>
        <w:pStyle w:val="5"/>
        <w:spacing w:line="560" w:lineRule="exact"/>
        <w:ind w:left="1118" w:firstLine="0" w:firstLineChars="0"/>
        <w:rPr>
          <w:rFonts w:hint="eastAsia" w:ascii="黑体" w:hAnsi="黑体" w:eastAsia="黑体" w:cs="黑体"/>
          <w:sz w:val="32"/>
          <w:szCs w:val="32"/>
        </w:rPr>
      </w:pPr>
    </w:p>
    <w:p w14:paraId="7D50336C">
      <w:pPr>
        <w:spacing w:line="560" w:lineRule="exact"/>
        <w:ind w:left="-181" w:leftChars="-86" w:firstLine="640" w:firstLineChars="200"/>
        <w:rPr>
          <w:rFonts w:hint="eastAsia" w:ascii="仿宋_GB2312" w:hAnsi="仿宋_GB2312" w:eastAsia="仿宋_GB2312" w:cs="仿宋_GB2312"/>
          <w:sz w:val="32"/>
        </w:rPr>
      </w:pPr>
      <w:r>
        <w:rPr>
          <w:rFonts w:hint="eastAsia" w:ascii="黑体" w:hAnsi="黑体" w:eastAsia="黑体" w:cs="黑体"/>
          <w:b w:val="0"/>
          <w:bCs w:val="0"/>
          <w:sz w:val="32"/>
        </w:rPr>
        <w:t>第一条</w:t>
      </w:r>
      <w:r>
        <w:rPr>
          <w:rFonts w:hint="eastAsia" w:ascii="仿宋_GB2312" w:hAnsi="仿宋_GB2312" w:eastAsia="仿宋_GB2312" w:cs="仿宋_GB2312"/>
          <w:b/>
          <w:bCs/>
          <w:sz w:val="32"/>
        </w:rPr>
        <w:t xml:space="preserve"> </w:t>
      </w:r>
      <w:r>
        <w:rPr>
          <w:rFonts w:hint="eastAsia" w:ascii="仿宋_GB2312" w:hAnsi="仿宋_GB2312" w:eastAsia="仿宋_GB2312" w:cs="仿宋_GB2312"/>
          <w:sz w:val="32"/>
        </w:rPr>
        <w:t>为规范中国精算师协会（以下简称协会）继续教育工作，不断保持和提升精算师的专业胜任能力，强化精算师遵守职业道德和执业纪律的意识，根据《中国精算师协会章程》《中国精算师协会会员管理办法》的有关规定，制定本办法。</w:t>
      </w:r>
    </w:p>
    <w:p w14:paraId="08D1BDA2">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rPr>
        <w:t xml:space="preserve">第二条 </w:t>
      </w:r>
      <w:r>
        <w:rPr>
          <w:rFonts w:hint="eastAsia" w:ascii="仿宋_GB2312" w:hAnsi="仿宋_GB2312" w:eastAsia="仿宋_GB2312" w:cs="仿宋_GB2312"/>
          <w:bCs/>
          <w:sz w:val="32"/>
        </w:rPr>
        <w:t>本办法适用于取得中国精算师职业资格的精算师（含正精算师、准精算师）和从事精算工作的协会其他个人会员（含正会员、准会员）。</w:t>
      </w:r>
    </w:p>
    <w:p w14:paraId="7164AC04">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精算师作为保持和提高专业胜任能力的责任主体，享有继续教育的会员权利和履行继续教育的会员义务。</w:t>
      </w:r>
    </w:p>
    <w:p w14:paraId="3E281030">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继续教育贯穿于精算师执业生涯的始终，精算师应当按照本办法的要求接受继续教育。</w:t>
      </w:r>
    </w:p>
    <w:p w14:paraId="2201C94C">
      <w:pPr>
        <w:spacing w:line="560" w:lineRule="exact"/>
        <w:ind w:left="-181" w:leftChars="-86" w:firstLine="640" w:firstLineChars="200"/>
        <w:rPr>
          <w:rFonts w:hint="eastAsia" w:ascii="仿宋_GB2312" w:hAnsi="仿宋_GB2312" w:eastAsia="仿宋_GB2312" w:cs="仿宋_GB2312"/>
          <w:bCs/>
          <w:sz w:val="32"/>
        </w:rPr>
      </w:pPr>
    </w:p>
    <w:p w14:paraId="39942381">
      <w:pPr>
        <w:pStyle w:val="5"/>
        <w:numPr>
          <w:ilvl w:val="0"/>
          <w:numId w:val="1"/>
        </w:numPr>
        <w:spacing w:line="560" w:lineRule="exact"/>
        <w:ind w:firstLineChars="0"/>
        <w:jc w:val="center"/>
        <w:rPr>
          <w:rFonts w:hint="eastAsia" w:ascii="黑体" w:hAnsi="黑体" w:eastAsia="黑体" w:cs="黑体"/>
          <w:sz w:val="32"/>
          <w:szCs w:val="32"/>
        </w:rPr>
      </w:pPr>
      <w:r>
        <w:rPr>
          <w:rFonts w:hint="eastAsia" w:ascii="黑体" w:hAnsi="黑体" w:eastAsia="黑体" w:cs="黑体"/>
          <w:sz w:val="32"/>
          <w:szCs w:val="32"/>
        </w:rPr>
        <w:t>继续教育的组织管理</w:t>
      </w:r>
    </w:p>
    <w:p w14:paraId="0322DCDD">
      <w:pPr>
        <w:pStyle w:val="5"/>
        <w:spacing w:line="560" w:lineRule="exact"/>
        <w:ind w:left="1118" w:firstLine="0" w:firstLineChars="0"/>
        <w:rPr>
          <w:rFonts w:hint="eastAsia" w:ascii="黑体" w:hAnsi="黑体" w:eastAsia="黑体" w:cs="黑体"/>
          <w:sz w:val="32"/>
          <w:szCs w:val="32"/>
        </w:rPr>
      </w:pPr>
    </w:p>
    <w:p w14:paraId="6B7FCB52">
      <w:pPr>
        <w:spacing w:line="560" w:lineRule="exact"/>
        <w:ind w:left="481"/>
        <w:rPr>
          <w:rFonts w:hint="eastAsia" w:ascii="仿宋_GB2312" w:hAnsi="仿宋_GB2312" w:eastAsia="仿宋_GB2312" w:cs="仿宋_GB2312"/>
          <w:bCs/>
          <w:sz w:val="32"/>
        </w:rPr>
      </w:pPr>
      <w:r>
        <w:rPr>
          <w:rFonts w:hint="eastAsia" w:ascii="黑体" w:hAnsi="黑体" w:eastAsia="黑体" w:cs="黑体"/>
          <w:b w:val="0"/>
          <w:bCs w:val="0"/>
          <w:sz w:val="32"/>
        </w:rPr>
        <w:t>第三条</w:t>
      </w:r>
      <w:r>
        <w:rPr>
          <w:rFonts w:hint="eastAsia" w:ascii="仿宋_GB2312" w:hAnsi="仿宋_GB2312" w:eastAsia="仿宋_GB2312" w:cs="仿宋_GB2312"/>
          <w:bCs/>
          <w:sz w:val="32"/>
        </w:rPr>
        <w:t xml:space="preserve"> </w:t>
      </w:r>
      <w:r>
        <w:rPr>
          <w:rFonts w:hint="eastAsia" w:ascii="仿宋_GB2312" w:hAnsi="仿宋_GB2312" w:eastAsia="仿宋_GB2312" w:cs="仿宋_GB2312"/>
          <w:bCs/>
          <w:spacing w:val="-6"/>
          <w:sz w:val="32"/>
        </w:rPr>
        <w:t>精算师继续教育由协会负责统一管理和具体实施。</w:t>
      </w:r>
    </w:p>
    <w:p w14:paraId="20A7FC1C">
      <w:pPr>
        <w:numPr>
          <w:ilvl w:val="0"/>
          <w:numId w:val="0"/>
        </w:numPr>
        <w:spacing w:line="560" w:lineRule="exact"/>
        <w:ind w:left="481" w:leftChars="0" w:firstLine="0" w:firstLineChars="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 xml:space="preserve">第四条 </w:t>
      </w:r>
      <w:r>
        <w:rPr>
          <w:rFonts w:hint="eastAsia" w:ascii="仿宋_GB2312" w:hAnsi="仿宋_GB2312" w:eastAsia="仿宋_GB2312" w:cs="仿宋_GB2312"/>
          <w:bCs/>
          <w:sz w:val="32"/>
        </w:rPr>
        <w:t>协会负责的继续教育工作职责具体包括：</w:t>
      </w:r>
    </w:p>
    <w:p w14:paraId="677F7731">
      <w:pPr>
        <w:numPr>
          <w:ilvl w:val="0"/>
          <w:numId w:val="2"/>
        </w:numPr>
        <w:spacing w:line="560" w:lineRule="exact"/>
        <w:rPr>
          <w:rFonts w:hint="eastAsia" w:ascii="仿宋_GB2312" w:hAnsi="仿宋_GB2312" w:eastAsia="仿宋_GB2312" w:cs="仿宋_GB2312"/>
          <w:bCs/>
          <w:sz w:val="32"/>
        </w:rPr>
      </w:pPr>
      <w:r>
        <w:rPr>
          <w:rFonts w:hint="eastAsia" w:ascii="仿宋_GB2312" w:hAnsi="仿宋_GB2312" w:eastAsia="仿宋_GB2312" w:cs="仿宋_GB2312"/>
          <w:bCs/>
          <w:sz w:val="32"/>
        </w:rPr>
        <w:t>建立健全继续教育相关制度。</w:t>
      </w:r>
    </w:p>
    <w:p w14:paraId="200C7569">
      <w:pPr>
        <w:numPr>
          <w:ilvl w:val="0"/>
          <w:numId w:val="2"/>
        </w:numPr>
        <w:spacing w:line="560" w:lineRule="exact"/>
        <w:rPr>
          <w:rFonts w:hint="eastAsia" w:ascii="仿宋_GB2312" w:hAnsi="仿宋_GB2312" w:eastAsia="仿宋_GB2312" w:cs="仿宋_GB2312"/>
          <w:bCs/>
          <w:sz w:val="32"/>
        </w:rPr>
      </w:pPr>
      <w:r>
        <w:rPr>
          <w:rFonts w:hint="eastAsia" w:ascii="仿宋_GB2312" w:hAnsi="仿宋_GB2312" w:eastAsia="仿宋_GB2312" w:cs="仿宋_GB2312"/>
          <w:bCs/>
          <w:sz w:val="32"/>
        </w:rPr>
        <w:t>编制年度继续教育计划。</w:t>
      </w:r>
    </w:p>
    <w:p w14:paraId="1900F21F">
      <w:pPr>
        <w:numPr>
          <w:ilvl w:val="0"/>
          <w:numId w:val="2"/>
        </w:numPr>
        <w:spacing w:line="560" w:lineRule="exact"/>
        <w:rPr>
          <w:rFonts w:hint="eastAsia" w:ascii="仿宋_GB2312" w:hAnsi="仿宋_GB2312" w:eastAsia="仿宋_GB2312" w:cs="仿宋_GB2312"/>
          <w:bCs/>
          <w:sz w:val="32"/>
        </w:rPr>
      </w:pPr>
      <w:r>
        <w:rPr>
          <w:rFonts w:hint="eastAsia" w:ascii="仿宋_GB2312" w:hAnsi="仿宋_GB2312" w:eastAsia="仿宋_GB2312" w:cs="仿宋_GB2312"/>
          <w:bCs/>
          <w:sz w:val="32"/>
        </w:rPr>
        <w:t>培训资源和培训平台的建设。</w:t>
      </w:r>
    </w:p>
    <w:p w14:paraId="545552D9">
      <w:pPr>
        <w:numPr>
          <w:ilvl w:val="0"/>
          <w:numId w:val="2"/>
        </w:numPr>
        <w:spacing w:line="560" w:lineRule="exact"/>
        <w:rPr>
          <w:rFonts w:hint="eastAsia" w:ascii="仿宋_GB2312" w:hAnsi="仿宋_GB2312" w:eastAsia="仿宋_GB2312" w:cs="仿宋_GB2312"/>
          <w:bCs/>
          <w:sz w:val="32"/>
        </w:rPr>
      </w:pPr>
      <w:r>
        <w:rPr>
          <w:rFonts w:hint="eastAsia" w:ascii="仿宋_GB2312" w:hAnsi="仿宋_GB2312" w:eastAsia="仿宋_GB2312" w:cs="仿宋_GB2312"/>
          <w:bCs/>
          <w:sz w:val="32"/>
        </w:rPr>
        <w:t>举办及委托举办各类培训。</w:t>
      </w:r>
    </w:p>
    <w:p w14:paraId="68582286">
      <w:pPr>
        <w:numPr>
          <w:ilvl w:val="0"/>
          <w:numId w:val="2"/>
        </w:numPr>
        <w:spacing w:line="560" w:lineRule="exact"/>
        <w:rPr>
          <w:rFonts w:hint="eastAsia" w:ascii="仿宋_GB2312" w:hAnsi="仿宋_GB2312" w:eastAsia="仿宋_GB2312" w:cs="仿宋_GB2312"/>
          <w:bCs/>
          <w:sz w:val="32"/>
        </w:rPr>
      </w:pPr>
      <w:r>
        <w:rPr>
          <w:rFonts w:hint="eastAsia" w:ascii="仿宋_GB2312" w:hAnsi="仿宋_GB2312" w:eastAsia="仿宋_GB2312" w:cs="仿宋_GB2312"/>
          <w:bCs/>
          <w:sz w:val="32"/>
        </w:rPr>
        <w:t>记录精算师继续教育学分，并考核其完成情况。</w:t>
      </w:r>
    </w:p>
    <w:p w14:paraId="18316AC4">
      <w:pPr>
        <w:numPr>
          <w:ilvl w:val="0"/>
          <w:numId w:val="2"/>
        </w:numPr>
        <w:spacing w:line="560" w:lineRule="exact"/>
        <w:rPr>
          <w:rFonts w:hint="eastAsia" w:ascii="仿宋_GB2312" w:hAnsi="仿宋_GB2312" w:eastAsia="仿宋_GB2312" w:cs="仿宋_GB2312"/>
          <w:bCs/>
          <w:sz w:val="32"/>
        </w:rPr>
      </w:pPr>
      <w:r>
        <w:rPr>
          <w:rFonts w:hint="eastAsia" w:ascii="仿宋_GB2312" w:hAnsi="仿宋_GB2312" w:eastAsia="仿宋_GB2312" w:cs="仿宋_GB2312"/>
          <w:bCs/>
          <w:sz w:val="32"/>
        </w:rPr>
        <w:t>协会继续教育组织管理的其他职责。</w:t>
      </w:r>
    </w:p>
    <w:p w14:paraId="3AD98CE3">
      <w:pPr>
        <w:spacing w:line="560" w:lineRule="exact"/>
        <w:ind w:firstLine="640" w:firstLineChars="200"/>
        <w:rPr>
          <w:rFonts w:hint="eastAsia" w:ascii="仿宋_GB2312" w:hAnsi="仿宋_GB2312" w:eastAsia="仿宋_GB2312" w:cs="仿宋_GB2312"/>
          <w:sz w:val="32"/>
          <w:szCs w:val="32"/>
        </w:rPr>
      </w:pPr>
      <w:r>
        <w:rPr>
          <w:rFonts w:hint="eastAsia" w:ascii="黑体" w:hAnsi="黑体" w:eastAsia="黑体" w:cs="黑体"/>
          <w:b w:val="0"/>
          <w:bCs w:val="0"/>
          <w:sz w:val="32"/>
          <w:lang w:val="en-US" w:eastAsia="zh-CN"/>
        </w:rPr>
        <w:t xml:space="preserve">第五条 </w:t>
      </w:r>
      <w:r>
        <w:rPr>
          <w:rFonts w:hint="eastAsia" w:ascii="仿宋_GB2312" w:hAnsi="仿宋_GB2312" w:eastAsia="仿宋_GB2312" w:cs="仿宋_GB2312"/>
          <w:sz w:val="32"/>
          <w:szCs w:val="32"/>
        </w:rPr>
        <w:t>精算师应当在取得精算师职业资格或会员资格后接受继续教育。</w:t>
      </w:r>
    </w:p>
    <w:p w14:paraId="46FEB655">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精算师参加继续教育应当真实、完整地保管与继续教育有关的记录和证明材料，并应按协会的要求提交审核。</w:t>
      </w:r>
    </w:p>
    <w:p w14:paraId="34A5BADD">
      <w:pPr>
        <w:spacing w:line="560" w:lineRule="exact"/>
        <w:ind w:firstLine="640" w:firstLineChars="200"/>
        <w:rPr>
          <w:rFonts w:hint="eastAsia" w:ascii="仿宋_GB2312" w:hAnsi="仿宋_GB2312" w:eastAsia="仿宋_GB2312" w:cs="仿宋_GB2312"/>
          <w:sz w:val="32"/>
          <w:szCs w:val="32"/>
        </w:rPr>
      </w:pPr>
      <w:r>
        <w:rPr>
          <w:rFonts w:hint="eastAsia" w:ascii="黑体" w:hAnsi="黑体" w:eastAsia="黑体" w:cs="黑体"/>
          <w:b w:val="0"/>
          <w:bCs w:val="0"/>
          <w:sz w:val="32"/>
          <w:lang w:val="en-US" w:eastAsia="zh-CN"/>
        </w:rPr>
        <w:t xml:space="preserve">第六条 </w:t>
      </w:r>
      <w:r>
        <w:rPr>
          <w:rFonts w:hint="eastAsia" w:ascii="仿宋_GB2312" w:hAnsi="仿宋_GB2312" w:eastAsia="仿宋_GB2312" w:cs="仿宋_GB2312"/>
          <w:sz w:val="32"/>
          <w:szCs w:val="32"/>
        </w:rPr>
        <w:t>相关机构具备下列条件的，可在每年年初向协会申请内部培训资格：</w:t>
      </w:r>
    </w:p>
    <w:p w14:paraId="54FE7DE9">
      <w:pPr>
        <w:numPr>
          <w:ilvl w:val="0"/>
          <w:numId w:val="3"/>
        </w:num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本机构（含下属子公司）至少有20名正精算师或正</w:t>
      </w:r>
    </w:p>
    <w:p w14:paraId="42313461">
      <w:p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会员。</w:t>
      </w:r>
    </w:p>
    <w:p w14:paraId="74B333D1">
      <w:pPr>
        <w:numPr>
          <w:ilvl w:val="0"/>
          <w:numId w:val="3"/>
        </w:num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具有健全的内部培训制度和科学的培训计划。</w:t>
      </w:r>
    </w:p>
    <w:p w14:paraId="19D7DD2D">
      <w:pPr>
        <w:numPr>
          <w:ilvl w:val="0"/>
          <w:numId w:val="3"/>
        </w:num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设有专门从事培训工作的职能部门和人员。</w:t>
      </w:r>
    </w:p>
    <w:p w14:paraId="094CD1C1">
      <w:pPr>
        <w:numPr>
          <w:ilvl w:val="0"/>
          <w:numId w:val="3"/>
        </w:num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能够提供符合培训要求的师资、场地和设施。</w:t>
      </w:r>
    </w:p>
    <w:p w14:paraId="1B989616">
      <w:pPr>
        <w:numPr>
          <w:ilvl w:val="0"/>
          <w:numId w:val="0"/>
        </w:numPr>
        <w:spacing w:line="560" w:lineRule="exact"/>
        <w:ind w:firstLine="640" w:firstLineChars="200"/>
        <w:rPr>
          <w:rFonts w:hint="eastAsia" w:ascii="仿宋_GB2312" w:hAnsi="仿宋_GB2312" w:eastAsia="仿宋_GB2312" w:cs="仿宋_GB2312"/>
          <w:sz w:val="32"/>
          <w:szCs w:val="32"/>
        </w:rPr>
      </w:pPr>
      <w:r>
        <w:rPr>
          <w:rFonts w:hint="eastAsia" w:ascii="黑体" w:hAnsi="黑体" w:eastAsia="黑体" w:cs="黑体"/>
          <w:b w:val="0"/>
          <w:bCs w:val="0"/>
          <w:sz w:val="32"/>
          <w:lang w:val="en-US" w:eastAsia="zh-CN"/>
        </w:rPr>
        <w:t xml:space="preserve">第七条 </w:t>
      </w:r>
      <w:r>
        <w:rPr>
          <w:rFonts w:hint="eastAsia" w:ascii="仿宋_GB2312" w:hAnsi="仿宋_GB2312" w:eastAsia="仿宋_GB2312" w:cs="仿宋_GB2312"/>
          <w:sz w:val="32"/>
          <w:szCs w:val="32"/>
        </w:rPr>
        <w:t>具有内部培训资格的机构应当报备培训相关材料和数据，包括：本机构继续教育办法、年度继续教育计划、具体实施情况、年度培训总结等。</w:t>
      </w:r>
    </w:p>
    <w:p w14:paraId="47C297C5">
      <w:pPr>
        <w:spacing w:line="560" w:lineRule="exact"/>
        <w:ind w:left="481"/>
        <w:rPr>
          <w:rFonts w:hint="eastAsia" w:ascii="仿宋_GB2312" w:hAnsi="仿宋_GB2312" w:eastAsia="仿宋_GB2312" w:cs="仿宋_GB2312"/>
          <w:bCs/>
          <w:sz w:val="32"/>
        </w:rPr>
      </w:pPr>
    </w:p>
    <w:p w14:paraId="0F4528E0">
      <w:pPr>
        <w:pStyle w:val="5"/>
        <w:numPr>
          <w:ilvl w:val="0"/>
          <w:numId w:val="1"/>
        </w:numPr>
        <w:spacing w:line="560" w:lineRule="exact"/>
        <w:ind w:firstLineChars="0"/>
        <w:jc w:val="center"/>
        <w:rPr>
          <w:rFonts w:hint="eastAsia" w:ascii="黑体" w:hAnsi="黑体" w:eastAsia="黑体" w:cs="黑体"/>
          <w:sz w:val="32"/>
          <w:szCs w:val="32"/>
        </w:rPr>
      </w:pPr>
      <w:r>
        <w:rPr>
          <w:rFonts w:hint="eastAsia" w:ascii="黑体" w:hAnsi="黑体" w:eastAsia="黑体" w:cs="黑体"/>
          <w:sz w:val="32"/>
          <w:szCs w:val="32"/>
        </w:rPr>
        <w:t>继续教育的内容、形式和学时</w:t>
      </w:r>
    </w:p>
    <w:p w14:paraId="6B3DD7B7">
      <w:pPr>
        <w:spacing w:line="560" w:lineRule="exact"/>
        <w:rPr>
          <w:rFonts w:hint="eastAsia" w:ascii="黑体" w:hAnsi="黑体" w:eastAsia="黑体" w:cs="黑体"/>
          <w:sz w:val="32"/>
          <w:szCs w:val="32"/>
        </w:rPr>
      </w:pPr>
    </w:p>
    <w:p w14:paraId="3E89661E">
      <w:pPr>
        <w:spacing w:line="560" w:lineRule="exact"/>
        <w:ind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第八条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精算师继续教育的内容应当体现党的路线、方针、政策，职业发展目标，所处的职业领域和发展阶段的差异以及职业环境的变化，包括与保持和提升专业胜任能力相关的技术胜任能力、职业技术、职业价值观、职业道德与态度等。</w:t>
      </w:r>
    </w:p>
    <w:p w14:paraId="381F5043">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第九条</w:t>
      </w:r>
      <w:r>
        <w:rPr>
          <w:rFonts w:hint="eastAsia" w:ascii="仿宋_GB2312" w:hAnsi="仿宋_GB2312" w:eastAsia="仿宋_GB2312" w:cs="仿宋_GB2312"/>
          <w:bCs/>
          <w:sz w:val="32"/>
        </w:rPr>
        <w:t xml:space="preserve"> 精算师可以参加面授培训和网络培训进行继续教育。</w:t>
      </w:r>
    </w:p>
    <w:p w14:paraId="2456D922">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面授培训是指协会或协会认可的机构所组织的线下面授培训、专业论坛、研讨会等。</w:t>
      </w:r>
    </w:p>
    <w:p w14:paraId="32D4A912">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网络培训是指协会或协会认可的机构的网络平台提供的培训，包括在线直播、录播等。</w:t>
      </w:r>
    </w:p>
    <w:p w14:paraId="2366E877">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继续教育形式及学分认可如下：</w:t>
      </w:r>
    </w:p>
    <w:p w14:paraId="3DF0D74D">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（一）参加协会组织的职业道德教育面授和网络培训，每2小时折3个学分（超过1.5小时不足2小时部分，按2小时计算）。</w:t>
      </w:r>
    </w:p>
    <w:p w14:paraId="5B80760B">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（二）参加协会组织的面授和网络培训、专业论坛、研讨会等，每1小时折1个学分（超过半小时不足1小时部分，按1小时计算）。</w:t>
      </w:r>
    </w:p>
    <w:p w14:paraId="6A3D725D">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（三）参加协会认可的机构所组织的面授和网络培训、专业论坛、研讨会等每1小时折0.5个学分（超过半小时不足1小时部分，按1小时计算）。</w:t>
      </w:r>
    </w:p>
    <w:p w14:paraId="525948FA">
      <w:pPr>
        <w:spacing w:line="560" w:lineRule="exact"/>
        <w:ind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精算师可以参加与从业相关的专业活动或取得专业成果进行继续教育。</w:t>
      </w:r>
    </w:p>
    <w:p w14:paraId="46518DF0">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继续教育形式及学分认可如下：</w:t>
      </w:r>
    </w:p>
    <w:p w14:paraId="41BF1857">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（一）担任协会或协会认可机构举办的面授和网络培训授课人、专业论坛或研讨会的演讲人，按实际授课或演讲时间折算学分，每1小时折2个学分（超过半小时不足1小时部分，按1小时计算）。</w:t>
      </w:r>
    </w:p>
    <w:p w14:paraId="5B158783">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（二）参加行业标准、制度研究起草工作，每1小时折1个学分（超过半小时不足1小时部分，按1小时计算）。</w:t>
      </w:r>
    </w:p>
    <w:p w14:paraId="63FC987C">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（三）担任精算师职业资格考试命审题阅卷专家或精算师职业资格考试相关工作，每1小时折2个学分（超过半小时不足1小时部分，按1小时计算）。</w:t>
      </w:r>
    </w:p>
    <w:p w14:paraId="6C72BC76">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（四）参与精算行业发展相关研究工作，每1小时折1个学分（超过半小时不足1小时部分，按1小时计算）。</w:t>
      </w:r>
    </w:p>
    <w:p w14:paraId="08B4FEE5">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五）参与国际精算事务，担任国际精算组织委员、顾问等职务并参加相关会议，每1小时折1个学分（超过半小时不足1小时部分，按1小时计算；整理、研究国际精算事务相关材料，每篇3千字以上5千字以下折3个学分；5千字以上折4个学分。</w:t>
      </w:r>
    </w:p>
    <w:p w14:paraId="22A34CC4">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（六）公开发表精算专业著作、论文等每篇3千字以上5千字以下折3个学分；5千字以上折4个学分。</w:t>
      </w:r>
    </w:p>
    <w:p w14:paraId="6DC4D02B">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（七）参与会员管理、会议筹备等精算行业相关工作，每1小时折1个学分（超过半小时不足1小时部分，按1小时计算）。</w:t>
      </w:r>
    </w:p>
    <w:p w14:paraId="32730113">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（八）参加精算及相关专业学位教育（含当年取得学位）的，可确认15个学分；参加其他专业学位教育（含当年取得学位）的，可确认9个学分。</w:t>
      </w:r>
    </w:p>
    <w:p w14:paraId="00FD0EB2">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（九）在高校担任精算教师或承担精算学科教学任务的，任职期间每年可确认15个学分。</w:t>
      </w:r>
    </w:p>
    <w:p w14:paraId="07297F82">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（十）本制度中未明确的其他继续教育形式和学分认可情况，由协会认定。</w:t>
      </w:r>
    </w:p>
    <w:p w14:paraId="5E0D6495">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参加本条所列继续教育的，应当按照协会要求提交审核。同时申请多种形式的，可合并确认学分。</w:t>
      </w:r>
    </w:p>
    <w:p w14:paraId="42D8A2F9">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第十一条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 xml:space="preserve">协会应于每年年初公布继续教育年度计划，帮助精算师和会员安排继续教育时间。 </w:t>
      </w:r>
    </w:p>
    <w:p w14:paraId="0BF10FC3">
      <w:pPr>
        <w:spacing w:line="560" w:lineRule="exact"/>
        <w:ind w:left="-181" w:leftChars="-86" w:firstLine="640" w:firstLineChars="200"/>
        <w:rPr>
          <w:rFonts w:hint="eastAsia" w:ascii="仿宋_GB2312" w:hAnsi="仿宋_GB2312" w:eastAsia="仿宋_GB2312" w:cs="仿宋_GB2312"/>
          <w:sz w:val="32"/>
          <w:szCs w:val="32"/>
          <w:shd w:val="clear" w:color="auto" w:fill="FFFFFF"/>
        </w:rPr>
      </w:pPr>
      <w:r>
        <w:rPr>
          <w:rFonts w:hint="eastAsia" w:ascii="黑体" w:hAnsi="黑体" w:eastAsia="黑体" w:cs="黑体"/>
          <w:b w:val="0"/>
          <w:bCs w:val="0"/>
          <w:sz w:val="32"/>
          <w:lang w:val="en-US" w:eastAsia="zh-CN"/>
        </w:rPr>
        <w:t>第十二条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继续教育每年为一个考核周期，从起始年度1月1日起至当年12月31日止。</w:t>
      </w:r>
      <w:r>
        <w:rPr>
          <w:rFonts w:hint="eastAsia" w:ascii="仿宋_GB2312" w:hAnsi="仿宋_GB2312" w:eastAsia="仿宋_GB2312" w:cs="仿宋_GB2312"/>
          <w:sz w:val="32"/>
          <w:szCs w:val="32"/>
          <w:shd w:val="clear" w:color="auto" w:fill="FFFFFF"/>
        </w:rPr>
        <w:t>上一考核周期的学分不得滚动到下一考核周期。</w:t>
      </w:r>
    </w:p>
    <w:p w14:paraId="39F6757F">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正精算师每年接受继续教育累计不得少于15学分，其中本年度或上年度职业道德教育培训学分不得低于3学分。其他正会员、准精算师、准会员自愿参加继续教育，无最低学分要求。</w:t>
      </w:r>
    </w:p>
    <w:p w14:paraId="3F0651D1">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第十三条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存在下列情形之一的正精算师，可向协会提交继续教育学分豁免申请表（附表）及相关证明材料，经协会同意后，可不参加当年度继续教育培训。</w:t>
      </w:r>
    </w:p>
    <w:p w14:paraId="707DA01B">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（一）在境外停留6个月以上的。</w:t>
      </w:r>
    </w:p>
    <w:p w14:paraId="1E741C34">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（二）生育休产假的。</w:t>
      </w:r>
    </w:p>
    <w:p w14:paraId="676ABC0C">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（三）休病假6个月以上的。</w:t>
      </w:r>
    </w:p>
    <w:p w14:paraId="04BD0B4E">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（四）7月1日后新入会的。</w:t>
      </w:r>
    </w:p>
    <w:p w14:paraId="636754E0">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（五）协会认可的其他情形。</w:t>
      </w:r>
    </w:p>
    <w:p w14:paraId="0E2FEF4B">
      <w:pPr>
        <w:spacing w:line="500" w:lineRule="exact"/>
        <w:ind w:left="481"/>
        <w:rPr>
          <w:rFonts w:hint="eastAsia" w:ascii="仿宋_GB2312" w:hAnsi="仿宋_GB2312" w:eastAsia="仿宋_GB2312" w:cs="仿宋_GB2312"/>
          <w:bCs/>
          <w:sz w:val="32"/>
        </w:rPr>
      </w:pPr>
    </w:p>
    <w:p w14:paraId="5FFBC285">
      <w:pPr>
        <w:pStyle w:val="5"/>
        <w:numPr>
          <w:ilvl w:val="0"/>
          <w:numId w:val="1"/>
        </w:numPr>
        <w:spacing w:line="500" w:lineRule="exact"/>
        <w:ind w:firstLineChars="0"/>
        <w:jc w:val="center"/>
        <w:rPr>
          <w:rFonts w:hint="eastAsia" w:ascii="黑体" w:hAnsi="黑体" w:eastAsia="黑体" w:cs="黑体"/>
          <w:sz w:val="32"/>
          <w:szCs w:val="32"/>
        </w:rPr>
      </w:pPr>
      <w:r>
        <w:rPr>
          <w:rFonts w:hint="eastAsia" w:ascii="黑体" w:hAnsi="黑体" w:eastAsia="黑体" w:cs="黑体"/>
          <w:sz w:val="32"/>
          <w:szCs w:val="32"/>
        </w:rPr>
        <w:t>继续教育学分的确认与考核</w:t>
      </w:r>
    </w:p>
    <w:p w14:paraId="586263F2">
      <w:pPr>
        <w:pStyle w:val="5"/>
        <w:spacing w:line="500" w:lineRule="exact"/>
        <w:ind w:left="1118" w:firstLine="0" w:firstLineChars="0"/>
        <w:rPr>
          <w:rFonts w:hint="eastAsia" w:ascii="黑体" w:hAnsi="黑体" w:eastAsia="黑体" w:cs="黑体"/>
          <w:sz w:val="32"/>
          <w:szCs w:val="32"/>
        </w:rPr>
      </w:pPr>
    </w:p>
    <w:p w14:paraId="51A12FE0">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第十四条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协会负责记录精算师继续教育学分，并考核其完成情况。</w:t>
      </w:r>
    </w:p>
    <w:p w14:paraId="2FB692F8">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第十五条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精算师继续教育实行考核制度。精算师应按照协会要求提交材料审核（具体以每年下发通知为准），协会审核过程中可根据情况要求精算师提供相关证明材料。</w:t>
      </w:r>
    </w:p>
    <w:p w14:paraId="0A3111D5">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每一考核周期后的三个月内为考核缓冲期。考核缓冲期内，精算师不满足继续教育学分要求的，可以在考核缓冲期内补充学分。补充学分计为上一考核周期学分的，不累计至下个考核周期学分。</w:t>
      </w:r>
    </w:p>
    <w:p w14:paraId="1785D4C6">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第十六条</w:t>
      </w:r>
      <w:r>
        <w:rPr>
          <w:rFonts w:hint="eastAsia" w:ascii="仿宋_GB2312" w:hAnsi="仿宋_GB2312" w:eastAsia="仿宋_GB2312" w:cs="仿宋_GB2312"/>
          <w:bCs/>
          <w:sz w:val="32"/>
        </w:rPr>
        <w:t xml:space="preserve"> 精算师无正当理由未完成精算教育的，考核结果为不合格。考核不合格者，协会不计算继续教育学分，不予登记精算师职业资格证书。</w:t>
      </w:r>
    </w:p>
    <w:p w14:paraId="044072D8">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情节严重的采取以下措施：</w:t>
      </w:r>
    </w:p>
    <w:p w14:paraId="378283D0">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（一）在协会建立的精算师执业诚信档案中予以记录；</w:t>
      </w:r>
    </w:p>
    <w:p w14:paraId="25079702">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（二）将考核结果通报监管部门；</w:t>
      </w:r>
    </w:p>
    <w:p w14:paraId="2F38F667">
      <w:pPr>
        <w:spacing w:line="560" w:lineRule="exact"/>
        <w:ind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（三）取消其会员资格，收回会员证书。</w:t>
      </w:r>
    </w:p>
    <w:p w14:paraId="37519C9E">
      <w:pPr>
        <w:spacing w:line="560" w:lineRule="exact"/>
        <w:ind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第十七条</w:t>
      </w:r>
      <w:r>
        <w:rPr>
          <w:rFonts w:hint="eastAsia" w:ascii="仿宋_GB2312" w:hAnsi="仿宋_GB2312" w:eastAsia="仿宋_GB2312" w:cs="仿宋_GB2312"/>
          <w:b/>
          <w:sz w:val="32"/>
        </w:rPr>
        <w:t xml:space="preserve"> </w:t>
      </w:r>
      <w:r>
        <w:rPr>
          <w:rFonts w:hint="eastAsia" w:ascii="仿宋_GB2312" w:hAnsi="仿宋_GB2312" w:eastAsia="仿宋_GB2312" w:cs="仿宋_GB2312"/>
          <w:bCs/>
          <w:sz w:val="32"/>
        </w:rPr>
        <w:t>精算师有下列行为之一的，取消相应的继续教育学分：</w:t>
      </w:r>
    </w:p>
    <w:p w14:paraId="50F23303">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（一）提供虚假证明材料骗取继续教育学分。</w:t>
      </w:r>
    </w:p>
    <w:p w14:paraId="769BDD38">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（二）由他人代替参加继续教育培训。</w:t>
      </w:r>
    </w:p>
    <w:p w14:paraId="54829318">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（三）严重违反继续教育有关记录和管理制度。</w:t>
      </w:r>
    </w:p>
    <w:p w14:paraId="43460736">
      <w:pPr>
        <w:spacing w:line="560" w:lineRule="exact"/>
        <w:ind w:left="-181" w:leftChars="-86" w:firstLine="640" w:firstLineChars="200"/>
        <w:rPr>
          <w:rFonts w:hint="eastAsia" w:ascii="仿宋_GB2312" w:hAnsi="仿宋_GB2312" w:eastAsia="仿宋_GB2312" w:cs="仿宋_GB2312"/>
          <w:bCs/>
          <w:sz w:val="32"/>
        </w:rPr>
      </w:pPr>
    </w:p>
    <w:p w14:paraId="374CF6D7">
      <w:pPr>
        <w:spacing w:line="560" w:lineRule="exact"/>
        <w:ind w:left="-181" w:leftChars="-86" w:firstLine="640" w:firstLineChars="200"/>
        <w:rPr>
          <w:rFonts w:hint="eastAsia" w:ascii="仿宋_GB2312" w:hAnsi="仿宋_GB2312" w:eastAsia="仿宋_GB2312" w:cs="仿宋_GB2312"/>
          <w:bCs/>
          <w:sz w:val="32"/>
        </w:rPr>
      </w:pPr>
    </w:p>
    <w:p w14:paraId="3DBC44CF">
      <w:pPr>
        <w:spacing w:line="560" w:lineRule="exact"/>
        <w:ind w:left="-181" w:leftChars="-86" w:firstLine="640" w:firstLineChars="200"/>
        <w:rPr>
          <w:rFonts w:hint="eastAsia" w:ascii="仿宋_GB2312" w:hAnsi="仿宋_GB2312" w:eastAsia="仿宋_GB2312" w:cs="仿宋_GB2312"/>
          <w:bCs/>
          <w:sz w:val="32"/>
        </w:rPr>
      </w:pPr>
    </w:p>
    <w:p w14:paraId="1C500DD1">
      <w:pPr>
        <w:spacing w:line="560" w:lineRule="exact"/>
        <w:ind w:left="-181" w:leftChars="-86" w:firstLine="640" w:firstLineChars="200"/>
        <w:rPr>
          <w:rFonts w:hint="eastAsia" w:ascii="仿宋_GB2312" w:hAnsi="仿宋_GB2312" w:eastAsia="仿宋_GB2312" w:cs="仿宋_GB2312"/>
          <w:bCs/>
          <w:sz w:val="32"/>
        </w:rPr>
      </w:pPr>
    </w:p>
    <w:p w14:paraId="3051F356">
      <w:pPr>
        <w:pStyle w:val="5"/>
        <w:numPr>
          <w:ilvl w:val="0"/>
          <w:numId w:val="1"/>
        </w:numPr>
        <w:spacing w:line="560" w:lineRule="exact"/>
        <w:ind w:firstLineChars="0"/>
        <w:jc w:val="center"/>
        <w:rPr>
          <w:rFonts w:hint="eastAsia" w:ascii="黑体" w:hAnsi="黑体" w:eastAsia="黑体" w:cs="黑体"/>
          <w:sz w:val="32"/>
          <w:szCs w:val="32"/>
        </w:rPr>
      </w:pPr>
      <w:r>
        <w:rPr>
          <w:rFonts w:hint="eastAsia" w:ascii="黑体" w:hAnsi="黑体" w:eastAsia="黑体" w:cs="黑体"/>
          <w:sz w:val="32"/>
          <w:szCs w:val="32"/>
        </w:rPr>
        <w:t>附则</w:t>
      </w:r>
    </w:p>
    <w:p w14:paraId="52F0E822">
      <w:pPr>
        <w:pStyle w:val="5"/>
        <w:spacing w:line="560" w:lineRule="exact"/>
        <w:ind w:left="1118" w:firstLine="0" w:firstLineChars="0"/>
        <w:rPr>
          <w:rFonts w:hint="eastAsia" w:ascii="黑体" w:hAnsi="黑体" w:eastAsia="黑体" w:cs="黑体"/>
          <w:sz w:val="32"/>
          <w:szCs w:val="32"/>
        </w:rPr>
      </w:pPr>
    </w:p>
    <w:p w14:paraId="7F063B89">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 xml:space="preserve">第十八条 </w:t>
      </w:r>
      <w:r>
        <w:rPr>
          <w:rFonts w:hint="eastAsia" w:ascii="仿宋_GB2312" w:hAnsi="仿宋_GB2312" w:eastAsia="仿宋_GB2312" w:cs="仿宋_GB2312"/>
          <w:bCs/>
          <w:sz w:val="32"/>
        </w:rPr>
        <w:t>本办法由协会负责解释。</w:t>
      </w:r>
    </w:p>
    <w:p w14:paraId="2D26F925">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 xml:space="preserve">第十九条 </w:t>
      </w:r>
      <w:r>
        <w:rPr>
          <w:rFonts w:hint="eastAsia" w:ascii="仿宋_GB2312" w:hAnsi="仿宋_GB2312" w:eastAsia="仿宋_GB2312" w:cs="仿宋_GB2312"/>
          <w:bCs/>
          <w:sz w:val="32"/>
        </w:rPr>
        <w:t>本办法自2023年1月1日至2023年12月31日试行。试行期间考核不合格者，协会不计算继续教育学分，不予登记精算师职业资格证书，不采取其他措施。本办法自2024年1月1日自起正式施行。</w:t>
      </w:r>
    </w:p>
    <w:p w14:paraId="4B30DC61">
      <w:pPr>
        <w:spacing w:line="560" w:lineRule="exact"/>
        <w:ind w:left="-181" w:leftChars="-86" w:firstLine="640" w:firstLineChars="200"/>
        <w:rPr>
          <w:rFonts w:hint="eastAsia" w:ascii="仿宋_GB2312" w:hAnsi="仿宋_GB2312" w:eastAsia="仿宋_GB2312" w:cs="仿宋_GB2312"/>
          <w:bCs/>
          <w:sz w:val="32"/>
        </w:rPr>
      </w:pPr>
      <w:r>
        <w:rPr>
          <w:rFonts w:hint="eastAsia" w:ascii="黑体" w:hAnsi="黑体" w:eastAsia="黑体" w:cs="黑体"/>
          <w:b w:val="0"/>
          <w:bCs w:val="0"/>
          <w:sz w:val="32"/>
          <w:lang w:val="en-US" w:eastAsia="zh-CN"/>
        </w:rPr>
        <w:t>第二十条</w:t>
      </w:r>
      <w:r>
        <w:rPr>
          <w:rFonts w:hint="eastAsia" w:ascii="仿宋_GB2312" w:hAnsi="仿宋_GB2312" w:eastAsia="仿宋_GB2312" w:cs="仿宋_GB2312"/>
          <w:bCs/>
          <w:sz w:val="32"/>
        </w:rPr>
        <w:t xml:space="preserve"> 原《中国精算师协会会员继续教育暂行办法》（</w:t>
      </w:r>
      <w:r>
        <w:rPr>
          <w:rFonts w:hint="eastAsia" w:ascii="仿宋_GB2312" w:hAnsi="仿宋_GB2312" w:eastAsia="仿宋_GB2312" w:cs="仿宋_GB2312"/>
          <w:color w:val="000000"/>
          <w:kern w:val="0"/>
          <w:sz w:val="32"/>
          <w:szCs w:val="32"/>
        </w:rPr>
        <w:t>中精协发〔2009〕1号</w:t>
      </w:r>
      <w:r>
        <w:rPr>
          <w:rFonts w:hint="eastAsia" w:ascii="仿宋_GB2312" w:hAnsi="仿宋_GB2312" w:eastAsia="仿宋_GB2312" w:cs="仿宋_GB2312"/>
          <w:sz w:val="32"/>
        </w:rPr>
        <w:t xml:space="preserve"> ）</w:t>
      </w:r>
      <w:r>
        <w:rPr>
          <w:rFonts w:hint="eastAsia" w:ascii="仿宋_GB2312" w:hAnsi="仿宋_GB2312" w:eastAsia="仿宋_GB2312" w:cs="仿宋_GB2312"/>
          <w:bCs/>
          <w:sz w:val="32"/>
        </w:rPr>
        <w:t>于2023年1月1日废止。</w:t>
      </w:r>
    </w:p>
    <w:p w14:paraId="2C834A35">
      <w:pPr>
        <w:spacing w:line="560" w:lineRule="exact"/>
        <w:ind w:firstLine="280" w:firstLineChars="100"/>
        <w:rPr>
          <w:rFonts w:hint="eastAsia" w:ascii="仿宋_GB2312" w:hAnsi="仿宋" w:eastAsia="仿宋_GB2312" w:cs="仿宋"/>
          <w:sz w:val="28"/>
          <w:szCs w:val="28"/>
        </w:rPr>
      </w:pPr>
      <w:r>
        <w:rPr>
          <w:rFonts w:hint="eastAsia" w:ascii="仿宋_GB2312" w:hAnsi="仿宋" w:eastAsia="仿宋_GB2312" w:cs="仿宋"/>
          <w:sz w:val="28"/>
          <w:szCs w:val="28"/>
        </w:rPr>
        <w:t xml:space="preserve">  </w:t>
      </w:r>
    </w:p>
    <w:p w14:paraId="43C2AC58">
      <w:pPr>
        <w:spacing w:line="560" w:lineRule="exact"/>
        <w:ind w:left="-181" w:leftChars="-86" w:firstLine="640" w:firstLineChars="200"/>
        <w:rPr>
          <w:rFonts w:hint="eastAsia" w:ascii="仿宋_GB2312" w:hAnsi="仿宋_GB2312" w:eastAsia="仿宋_GB2312" w:cs="仿宋_GB2312"/>
          <w:bCs/>
          <w:sz w:val="32"/>
        </w:rPr>
      </w:pPr>
      <w:r>
        <w:rPr>
          <w:rFonts w:hint="eastAsia" w:ascii="仿宋_GB2312" w:hAnsi="仿宋_GB2312" w:eastAsia="仿宋_GB2312" w:cs="仿宋_GB2312"/>
          <w:bCs/>
          <w:sz w:val="32"/>
        </w:rPr>
        <w:t>附表：中国精算师协会会员继续教育学分豁免申请表</w:t>
      </w:r>
    </w:p>
    <w:p w14:paraId="1E5A84B0">
      <w:pPr>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br w:type="page"/>
      </w:r>
      <w:r>
        <w:rPr>
          <w:rFonts w:hint="eastAsia" w:ascii="黑体" w:hAnsi="黑体" w:eastAsia="黑体" w:cs="黑体"/>
          <w:sz w:val="32"/>
          <w:szCs w:val="32"/>
        </w:rPr>
        <w:t>附表</w:t>
      </w:r>
    </w:p>
    <w:tbl>
      <w:tblPr>
        <w:tblStyle w:val="3"/>
        <w:tblW w:w="8855" w:type="dxa"/>
        <w:tblInd w:w="93" w:type="dxa"/>
        <w:tblLayout w:type="fixed"/>
        <w:tblCellMar>
          <w:top w:w="0" w:type="dxa"/>
          <w:left w:w="108" w:type="dxa"/>
          <w:bottom w:w="0" w:type="dxa"/>
          <w:right w:w="108" w:type="dxa"/>
        </w:tblCellMar>
      </w:tblPr>
      <w:tblGrid>
        <w:gridCol w:w="2506"/>
        <w:gridCol w:w="2034"/>
        <w:gridCol w:w="2233"/>
        <w:gridCol w:w="2082"/>
      </w:tblGrid>
      <w:tr w14:paraId="6A023B0A">
        <w:tblPrEx>
          <w:tblCellMar>
            <w:top w:w="0" w:type="dxa"/>
            <w:left w:w="108" w:type="dxa"/>
            <w:bottom w:w="0" w:type="dxa"/>
            <w:right w:w="108" w:type="dxa"/>
          </w:tblCellMar>
        </w:tblPrEx>
        <w:trPr>
          <w:trHeight w:val="680" w:hRule="atLeast"/>
        </w:trPr>
        <w:tc>
          <w:tcPr>
            <w:tcW w:w="8855" w:type="dxa"/>
            <w:gridSpan w:val="4"/>
            <w:tcBorders>
              <w:top w:val="nil"/>
              <w:left w:val="nil"/>
              <w:bottom w:val="nil"/>
              <w:right w:val="nil"/>
            </w:tcBorders>
            <w:noWrap/>
            <w:vAlign w:val="center"/>
          </w:tcPr>
          <w:p w14:paraId="11A109D0">
            <w:pPr>
              <w:widowControl/>
              <w:jc w:val="center"/>
              <w:textAlignment w:val="center"/>
              <w:rPr>
                <w:rFonts w:hint="eastAsia" w:ascii="仿宋_GB2312" w:hAnsi="仿宋" w:eastAsia="仿宋_GB2312" w:cs="仿宋"/>
                <w:b/>
                <w:bCs/>
                <w:color w:val="000000"/>
                <w:sz w:val="28"/>
                <w:szCs w:val="28"/>
              </w:rPr>
            </w:pPr>
            <w:r>
              <w:rPr>
                <w:rFonts w:hint="eastAsia" w:ascii="仿宋_GB2312" w:hAnsi="仿宋" w:eastAsia="仿宋_GB2312" w:cs="仿宋"/>
                <w:b/>
                <w:bCs/>
                <w:color w:val="000000"/>
                <w:kern w:val="0"/>
                <w:sz w:val="36"/>
                <w:szCs w:val="36"/>
                <w:lang w:bidi="ar"/>
              </w:rPr>
              <w:t>中国精算师协会会员继续教育学分豁免申请表</w:t>
            </w:r>
          </w:p>
        </w:tc>
      </w:tr>
      <w:tr w14:paraId="6F3FC668">
        <w:tblPrEx>
          <w:tblCellMar>
            <w:top w:w="0" w:type="dxa"/>
            <w:left w:w="108" w:type="dxa"/>
            <w:bottom w:w="0" w:type="dxa"/>
            <w:right w:w="108" w:type="dxa"/>
          </w:tblCellMar>
        </w:tblPrEx>
        <w:trPr>
          <w:trHeight w:val="640" w:hRule="atLeast"/>
        </w:trPr>
        <w:tc>
          <w:tcPr>
            <w:tcW w:w="2506" w:type="dxa"/>
            <w:tcBorders>
              <w:top w:val="single" w:color="000000" w:sz="4" w:space="0"/>
              <w:left w:val="single" w:color="000000" w:sz="4" w:space="0"/>
              <w:bottom w:val="single" w:color="000000" w:sz="4" w:space="0"/>
              <w:right w:val="single" w:color="000000" w:sz="4" w:space="0"/>
            </w:tcBorders>
            <w:noWrap/>
            <w:vAlign w:val="center"/>
          </w:tcPr>
          <w:p w14:paraId="729FDD99">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姓  名</w:t>
            </w:r>
          </w:p>
        </w:tc>
        <w:tc>
          <w:tcPr>
            <w:tcW w:w="2034" w:type="dxa"/>
            <w:tcBorders>
              <w:top w:val="single" w:color="000000" w:sz="4" w:space="0"/>
              <w:left w:val="single" w:color="000000" w:sz="4" w:space="0"/>
              <w:bottom w:val="single" w:color="000000" w:sz="4" w:space="0"/>
              <w:right w:val="single" w:color="000000" w:sz="4" w:space="0"/>
            </w:tcBorders>
            <w:noWrap/>
            <w:vAlign w:val="center"/>
          </w:tcPr>
          <w:p w14:paraId="7A053728">
            <w:pPr>
              <w:rPr>
                <w:rFonts w:hint="eastAsia" w:ascii="仿宋_GB2312" w:hAnsi="仿宋" w:eastAsia="仿宋_GB2312" w:cs="仿宋"/>
                <w:color w:val="000000"/>
                <w:sz w:val="28"/>
                <w:szCs w:val="28"/>
              </w:rPr>
            </w:pPr>
          </w:p>
        </w:tc>
        <w:tc>
          <w:tcPr>
            <w:tcW w:w="2233" w:type="dxa"/>
            <w:tcBorders>
              <w:top w:val="single" w:color="000000" w:sz="4" w:space="0"/>
              <w:left w:val="single" w:color="000000" w:sz="4" w:space="0"/>
              <w:bottom w:val="single" w:color="000000" w:sz="4" w:space="0"/>
              <w:right w:val="single" w:color="000000" w:sz="4" w:space="0"/>
            </w:tcBorders>
            <w:noWrap/>
            <w:vAlign w:val="center"/>
          </w:tcPr>
          <w:p w14:paraId="3521EE0C">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性  别</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71B60737">
            <w:pPr>
              <w:rPr>
                <w:rFonts w:hint="eastAsia" w:ascii="仿宋_GB2312" w:hAnsi="仿宋" w:eastAsia="仿宋_GB2312" w:cs="仿宋"/>
                <w:color w:val="000000"/>
                <w:sz w:val="28"/>
                <w:szCs w:val="28"/>
              </w:rPr>
            </w:pPr>
          </w:p>
        </w:tc>
      </w:tr>
      <w:tr w14:paraId="682676CF">
        <w:tblPrEx>
          <w:tblCellMar>
            <w:top w:w="0" w:type="dxa"/>
            <w:left w:w="108" w:type="dxa"/>
            <w:bottom w:w="0" w:type="dxa"/>
            <w:right w:w="108" w:type="dxa"/>
          </w:tblCellMar>
        </w:tblPrEx>
        <w:trPr>
          <w:trHeight w:val="640" w:hRule="atLeast"/>
        </w:trPr>
        <w:tc>
          <w:tcPr>
            <w:tcW w:w="2506" w:type="dxa"/>
            <w:tcBorders>
              <w:top w:val="single" w:color="000000" w:sz="4" w:space="0"/>
              <w:left w:val="single" w:color="000000" w:sz="4" w:space="0"/>
              <w:bottom w:val="single" w:color="000000" w:sz="4" w:space="0"/>
              <w:right w:val="single" w:color="000000" w:sz="4" w:space="0"/>
            </w:tcBorders>
            <w:noWrap/>
            <w:vAlign w:val="center"/>
          </w:tcPr>
          <w:p w14:paraId="7CAB86AD">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会员类型</w:t>
            </w:r>
          </w:p>
        </w:tc>
        <w:tc>
          <w:tcPr>
            <w:tcW w:w="2034" w:type="dxa"/>
            <w:tcBorders>
              <w:top w:val="single" w:color="000000" w:sz="4" w:space="0"/>
              <w:left w:val="single" w:color="000000" w:sz="4" w:space="0"/>
              <w:bottom w:val="single" w:color="000000" w:sz="4" w:space="0"/>
              <w:right w:val="single" w:color="000000" w:sz="4" w:space="0"/>
            </w:tcBorders>
            <w:noWrap/>
            <w:vAlign w:val="center"/>
          </w:tcPr>
          <w:p w14:paraId="5B5AA7A3">
            <w:pPr>
              <w:rPr>
                <w:rFonts w:hint="eastAsia" w:ascii="仿宋_GB2312" w:hAnsi="仿宋" w:eastAsia="仿宋_GB2312" w:cs="仿宋"/>
                <w:color w:val="000000"/>
                <w:sz w:val="28"/>
                <w:szCs w:val="28"/>
              </w:rPr>
            </w:pPr>
          </w:p>
        </w:tc>
        <w:tc>
          <w:tcPr>
            <w:tcW w:w="2233" w:type="dxa"/>
            <w:tcBorders>
              <w:top w:val="single" w:color="000000" w:sz="4" w:space="0"/>
              <w:left w:val="single" w:color="000000" w:sz="4" w:space="0"/>
              <w:bottom w:val="single" w:color="000000" w:sz="4" w:space="0"/>
              <w:right w:val="single" w:color="000000" w:sz="4" w:space="0"/>
            </w:tcBorders>
            <w:noWrap/>
            <w:vAlign w:val="center"/>
          </w:tcPr>
          <w:p w14:paraId="3FDDFDBE">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会员编号</w:t>
            </w:r>
          </w:p>
        </w:tc>
        <w:tc>
          <w:tcPr>
            <w:tcW w:w="2082" w:type="dxa"/>
            <w:tcBorders>
              <w:top w:val="single" w:color="000000" w:sz="4" w:space="0"/>
              <w:left w:val="single" w:color="000000" w:sz="4" w:space="0"/>
              <w:bottom w:val="single" w:color="000000" w:sz="4" w:space="0"/>
              <w:right w:val="single" w:color="000000" w:sz="4" w:space="0"/>
            </w:tcBorders>
            <w:noWrap/>
            <w:vAlign w:val="center"/>
          </w:tcPr>
          <w:p w14:paraId="425C4095">
            <w:pPr>
              <w:rPr>
                <w:rFonts w:hint="eastAsia" w:ascii="仿宋_GB2312" w:hAnsi="仿宋" w:eastAsia="仿宋_GB2312" w:cs="仿宋"/>
                <w:color w:val="000000"/>
                <w:sz w:val="28"/>
                <w:szCs w:val="28"/>
              </w:rPr>
            </w:pPr>
          </w:p>
        </w:tc>
      </w:tr>
      <w:tr w14:paraId="2D6C195F">
        <w:tblPrEx>
          <w:tblCellMar>
            <w:top w:w="0" w:type="dxa"/>
            <w:left w:w="108" w:type="dxa"/>
            <w:bottom w:w="0" w:type="dxa"/>
            <w:right w:w="108" w:type="dxa"/>
          </w:tblCellMar>
        </w:tblPrEx>
        <w:trPr>
          <w:trHeight w:val="640" w:hRule="atLeast"/>
        </w:trPr>
        <w:tc>
          <w:tcPr>
            <w:tcW w:w="2506" w:type="dxa"/>
            <w:tcBorders>
              <w:top w:val="single" w:color="000000" w:sz="4" w:space="0"/>
              <w:left w:val="single" w:color="000000" w:sz="4" w:space="0"/>
              <w:bottom w:val="single" w:color="000000" w:sz="4" w:space="0"/>
              <w:right w:val="single" w:color="000000" w:sz="4" w:space="0"/>
            </w:tcBorders>
            <w:noWrap/>
            <w:vAlign w:val="center"/>
          </w:tcPr>
          <w:p w14:paraId="26A8C582">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是否在职</w:t>
            </w:r>
          </w:p>
        </w:tc>
        <w:tc>
          <w:tcPr>
            <w:tcW w:w="6349" w:type="dxa"/>
            <w:gridSpan w:val="3"/>
            <w:tcBorders>
              <w:top w:val="single" w:color="000000" w:sz="4" w:space="0"/>
              <w:left w:val="single" w:color="000000" w:sz="4" w:space="0"/>
              <w:bottom w:val="single" w:color="000000" w:sz="4" w:space="0"/>
              <w:right w:val="single" w:color="000000" w:sz="4" w:space="0"/>
            </w:tcBorders>
            <w:noWrap/>
            <w:vAlign w:val="center"/>
          </w:tcPr>
          <w:p w14:paraId="33ADCBB1">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是</w:t>
            </w:r>
            <w:r>
              <w:rPr>
                <w:rFonts w:hint="eastAsia" w:ascii="仿宋_GB2312" w:hAnsi="仿宋" w:eastAsia="仿宋_GB2312" w:cs="仿宋"/>
                <w:color w:val="000000"/>
                <w:kern w:val="0"/>
                <w:sz w:val="28"/>
                <w:szCs w:val="28"/>
                <w:lang w:bidi="ar"/>
              </w:rPr>
              <w:sym w:font="Wingdings 2" w:char="00A3"/>
            </w:r>
            <w:r>
              <w:rPr>
                <w:rFonts w:hint="eastAsia" w:ascii="仿宋_GB2312" w:hAnsi="仿宋" w:eastAsia="仿宋_GB2312" w:cs="仿宋"/>
                <w:color w:val="000000"/>
                <w:kern w:val="0"/>
                <w:sz w:val="28"/>
                <w:szCs w:val="28"/>
                <w:lang w:bidi="ar"/>
              </w:rPr>
              <w:t xml:space="preserve">          否</w:t>
            </w:r>
            <w:r>
              <w:rPr>
                <w:rFonts w:hint="eastAsia" w:ascii="仿宋_GB2312" w:hAnsi="仿宋" w:eastAsia="仿宋_GB2312" w:cs="仿宋"/>
                <w:color w:val="000000"/>
                <w:kern w:val="0"/>
                <w:sz w:val="28"/>
                <w:szCs w:val="28"/>
                <w:lang w:bidi="ar"/>
              </w:rPr>
              <w:sym w:font="Wingdings 2" w:char="00A3"/>
            </w:r>
          </w:p>
        </w:tc>
      </w:tr>
      <w:tr w14:paraId="0E55D7B2">
        <w:tblPrEx>
          <w:tblCellMar>
            <w:top w:w="0" w:type="dxa"/>
            <w:left w:w="108" w:type="dxa"/>
            <w:bottom w:w="0" w:type="dxa"/>
            <w:right w:w="108" w:type="dxa"/>
          </w:tblCellMar>
        </w:tblPrEx>
        <w:trPr>
          <w:trHeight w:val="640" w:hRule="atLeast"/>
        </w:trPr>
        <w:tc>
          <w:tcPr>
            <w:tcW w:w="2506" w:type="dxa"/>
            <w:tcBorders>
              <w:top w:val="single" w:color="000000" w:sz="4" w:space="0"/>
              <w:left w:val="single" w:color="000000" w:sz="4" w:space="0"/>
              <w:bottom w:val="single" w:color="000000" w:sz="4" w:space="0"/>
              <w:right w:val="single" w:color="000000" w:sz="4" w:space="0"/>
            </w:tcBorders>
            <w:noWrap/>
            <w:vAlign w:val="center"/>
          </w:tcPr>
          <w:p w14:paraId="271623B6">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所在单位</w:t>
            </w:r>
          </w:p>
        </w:tc>
        <w:tc>
          <w:tcPr>
            <w:tcW w:w="6349" w:type="dxa"/>
            <w:gridSpan w:val="3"/>
            <w:tcBorders>
              <w:top w:val="single" w:color="000000" w:sz="4" w:space="0"/>
              <w:left w:val="single" w:color="000000" w:sz="4" w:space="0"/>
              <w:bottom w:val="single" w:color="000000" w:sz="4" w:space="0"/>
              <w:right w:val="single" w:color="000000" w:sz="4" w:space="0"/>
            </w:tcBorders>
            <w:noWrap/>
            <w:vAlign w:val="center"/>
          </w:tcPr>
          <w:p w14:paraId="1764BA90">
            <w:pPr>
              <w:rPr>
                <w:rFonts w:hint="eastAsia" w:ascii="仿宋_GB2312" w:hAnsi="仿宋" w:eastAsia="仿宋_GB2312" w:cs="仿宋"/>
                <w:color w:val="000000"/>
                <w:sz w:val="28"/>
                <w:szCs w:val="28"/>
              </w:rPr>
            </w:pPr>
          </w:p>
        </w:tc>
      </w:tr>
      <w:tr w14:paraId="687D3EFF">
        <w:tblPrEx>
          <w:tblCellMar>
            <w:top w:w="0" w:type="dxa"/>
            <w:left w:w="108" w:type="dxa"/>
            <w:bottom w:w="0" w:type="dxa"/>
            <w:right w:w="108" w:type="dxa"/>
          </w:tblCellMar>
        </w:tblPrEx>
        <w:trPr>
          <w:trHeight w:val="2960" w:hRule="atLeast"/>
        </w:trPr>
        <w:tc>
          <w:tcPr>
            <w:tcW w:w="2506" w:type="dxa"/>
            <w:tcBorders>
              <w:top w:val="single" w:color="000000" w:sz="4" w:space="0"/>
              <w:left w:val="single" w:color="000000" w:sz="4" w:space="0"/>
              <w:bottom w:val="single" w:color="000000" w:sz="4" w:space="0"/>
              <w:right w:val="single" w:color="000000" w:sz="4" w:space="0"/>
            </w:tcBorders>
            <w:vAlign w:val="center"/>
          </w:tcPr>
          <w:p w14:paraId="0E406FAE">
            <w:pPr>
              <w:widowControl/>
              <w:jc w:val="center"/>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学分豁免</w:t>
            </w:r>
          </w:p>
          <w:p w14:paraId="59091989">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申请理由</w:t>
            </w:r>
          </w:p>
        </w:tc>
        <w:tc>
          <w:tcPr>
            <w:tcW w:w="6349" w:type="dxa"/>
            <w:gridSpan w:val="3"/>
            <w:tcBorders>
              <w:top w:val="single" w:color="000000" w:sz="4" w:space="0"/>
              <w:left w:val="single" w:color="000000" w:sz="4" w:space="0"/>
              <w:bottom w:val="single" w:color="000000" w:sz="4" w:space="0"/>
              <w:right w:val="single" w:color="000000" w:sz="4" w:space="0"/>
            </w:tcBorders>
            <w:vAlign w:val="center"/>
          </w:tcPr>
          <w:p w14:paraId="4D2586DE">
            <w:pPr>
              <w:widowControl/>
              <w:spacing w:line="440" w:lineRule="exact"/>
              <w:jc w:val="left"/>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请勾选符合继续教育学分豁免申请理由，并随表附上证明材料：</w:t>
            </w:r>
          </w:p>
          <w:p w14:paraId="33B3D448">
            <w:pPr>
              <w:widowControl/>
              <w:spacing w:line="440" w:lineRule="exact"/>
              <w:jc w:val="left"/>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（一）在境外停留6个月以上的。（ ）</w:t>
            </w:r>
          </w:p>
          <w:p w14:paraId="14E39BA3">
            <w:pPr>
              <w:widowControl/>
              <w:spacing w:line="440" w:lineRule="exact"/>
              <w:jc w:val="left"/>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（二）生育休产假的。（ ）</w:t>
            </w:r>
          </w:p>
          <w:p w14:paraId="7AD668A5">
            <w:pPr>
              <w:widowControl/>
              <w:spacing w:line="440" w:lineRule="exact"/>
              <w:jc w:val="left"/>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（三）休病假6个月以上的。（ ）</w:t>
            </w:r>
          </w:p>
          <w:p w14:paraId="0E797722">
            <w:pPr>
              <w:widowControl/>
              <w:spacing w:line="440" w:lineRule="exact"/>
              <w:jc w:val="left"/>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（四）7月1日后新入会的。（ ）</w:t>
            </w:r>
          </w:p>
          <w:p w14:paraId="64DC0A1F">
            <w:pPr>
              <w:widowControl/>
              <w:spacing w:line="440" w:lineRule="exact"/>
              <w:jc w:val="left"/>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（五）本会认可的其他情形。（ ）</w:t>
            </w:r>
          </w:p>
        </w:tc>
      </w:tr>
      <w:tr w14:paraId="4AC9E16A">
        <w:tblPrEx>
          <w:tblCellMar>
            <w:top w:w="0" w:type="dxa"/>
            <w:left w:w="108" w:type="dxa"/>
            <w:bottom w:w="0" w:type="dxa"/>
            <w:right w:w="108" w:type="dxa"/>
          </w:tblCellMar>
        </w:tblPrEx>
        <w:trPr>
          <w:trHeight w:val="2060" w:hRule="atLeast"/>
        </w:trPr>
        <w:tc>
          <w:tcPr>
            <w:tcW w:w="2506" w:type="dxa"/>
            <w:tcBorders>
              <w:top w:val="single" w:color="000000" w:sz="4" w:space="0"/>
              <w:left w:val="single" w:color="000000" w:sz="4" w:space="0"/>
              <w:bottom w:val="single" w:color="000000" w:sz="4" w:space="0"/>
              <w:right w:val="single" w:color="000000" w:sz="4" w:space="0"/>
            </w:tcBorders>
            <w:vAlign w:val="center"/>
          </w:tcPr>
          <w:p w14:paraId="27E6A085">
            <w:pPr>
              <w:widowControl/>
              <w:jc w:val="center"/>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申请</w:t>
            </w:r>
          </w:p>
          <w:p w14:paraId="55A8C6A9">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承诺</w:t>
            </w:r>
          </w:p>
        </w:tc>
        <w:tc>
          <w:tcPr>
            <w:tcW w:w="6349" w:type="dxa"/>
            <w:gridSpan w:val="3"/>
            <w:tcBorders>
              <w:top w:val="single" w:color="000000" w:sz="4" w:space="0"/>
              <w:left w:val="single" w:color="000000" w:sz="4" w:space="0"/>
              <w:bottom w:val="single" w:color="000000" w:sz="4" w:space="0"/>
              <w:right w:val="single" w:color="000000" w:sz="4" w:space="0"/>
            </w:tcBorders>
            <w:vAlign w:val="center"/>
          </w:tcPr>
          <w:p w14:paraId="46DA3203">
            <w:pPr>
              <w:widowControl/>
              <w:jc w:val="left"/>
              <w:textAlignment w:val="center"/>
              <w:rPr>
                <w:rFonts w:hint="eastAsia" w:ascii="仿宋_GB2312" w:hAnsi="仿宋" w:eastAsia="仿宋_GB2312" w:cs="仿宋"/>
                <w:color w:val="000000"/>
                <w:kern w:val="0"/>
                <w:sz w:val="28"/>
                <w:szCs w:val="28"/>
                <w:lang w:bidi="ar"/>
              </w:rPr>
            </w:pPr>
          </w:p>
          <w:p w14:paraId="3BBD7727">
            <w:pPr>
              <w:widowControl/>
              <w:ind w:left="3080" w:hanging="3080" w:hangingChars="1100"/>
              <w:jc w:val="left"/>
              <w:textAlignment w:val="center"/>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以上申请资料真实、合法。                                            承诺人：</w:t>
            </w:r>
          </w:p>
          <w:p w14:paraId="6E90F9BE">
            <w:pPr>
              <w:widowControl/>
              <w:ind w:left="3080" w:hanging="3080" w:hangingChars="1100"/>
              <w:jc w:val="left"/>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日  期：</w:t>
            </w:r>
          </w:p>
        </w:tc>
      </w:tr>
      <w:tr w14:paraId="6C10A00F">
        <w:tblPrEx>
          <w:tblCellMar>
            <w:top w:w="0" w:type="dxa"/>
            <w:left w:w="108" w:type="dxa"/>
            <w:bottom w:w="0" w:type="dxa"/>
            <w:right w:w="108" w:type="dxa"/>
          </w:tblCellMar>
        </w:tblPrEx>
        <w:trPr>
          <w:trHeight w:val="2060" w:hRule="atLeast"/>
        </w:trPr>
        <w:tc>
          <w:tcPr>
            <w:tcW w:w="2506" w:type="dxa"/>
            <w:tcBorders>
              <w:top w:val="single" w:color="000000" w:sz="4" w:space="0"/>
              <w:left w:val="single" w:color="000000" w:sz="4" w:space="0"/>
              <w:bottom w:val="single" w:color="000000" w:sz="4" w:space="0"/>
              <w:right w:val="single" w:color="000000" w:sz="4" w:space="0"/>
            </w:tcBorders>
            <w:vAlign w:val="center"/>
          </w:tcPr>
          <w:p w14:paraId="3DD96EDB">
            <w:pPr>
              <w:widowControl/>
              <w:jc w:val="center"/>
              <w:textAlignment w:val="center"/>
              <w:rPr>
                <w:rFonts w:hint="eastAsia"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协会意见</w:t>
            </w:r>
          </w:p>
        </w:tc>
        <w:tc>
          <w:tcPr>
            <w:tcW w:w="6349" w:type="dxa"/>
            <w:gridSpan w:val="3"/>
            <w:tcBorders>
              <w:top w:val="single" w:color="000000" w:sz="4" w:space="0"/>
              <w:left w:val="single" w:color="000000" w:sz="4" w:space="0"/>
              <w:bottom w:val="single" w:color="000000" w:sz="4" w:space="0"/>
              <w:right w:val="single" w:color="000000" w:sz="4" w:space="0"/>
            </w:tcBorders>
            <w:noWrap/>
            <w:vAlign w:val="center"/>
          </w:tcPr>
          <w:p w14:paraId="597EAF1C">
            <w:pPr>
              <w:jc w:val="center"/>
              <w:rPr>
                <w:rFonts w:hint="eastAsia" w:ascii="仿宋_GB2312" w:hAnsi="仿宋" w:eastAsia="仿宋_GB2312" w:cs="仿宋"/>
                <w:color w:val="000000"/>
                <w:sz w:val="28"/>
                <w:szCs w:val="28"/>
              </w:rPr>
            </w:pPr>
          </w:p>
        </w:tc>
      </w:tr>
    </w:tbl>
    <w:p w14:paraId="54D945F3">
      <w:pPr>
        <w:spacing w:line="400" w:lineRule="exact"/>
        <w:rPr>
          <w:rFonts w:hint="eastAsia" w:ascii="仿宋_GB2312" w:hAnsi="仿宋" w:eastAsia="仿宋_GB2312" w:cs="仿宋"/>
          <w:color w:val="000000"/>
          <w:kern w:val="0"/>
          <w:sz w:val="28"/>
          <w:szCs w:val="28"/>
          <w:lang w:bidi="ar"/>
        </w:rPr>
      </w:pPr>
      <w:r>
        <w:rPr>
          <w:rFonts w:hint="eastAsia" w:ascii="仿宋_GB2312" w:hAnsi="仿宋" w:eastAsia="仿宋_GB2312" w:cs="仿宋"/>
          <w:color w:val="000000"/>
          <w:kern w:val="0"/>
          <w:sz w:val="28"/>
          <w:szCs w:val="28"/>
          <w:lang w:bidi="ar"/>
        </w:rPr>
        <w:t>注：在学分豁免申请理由栏勾选符合继续教育学分豁免申请理由，并随表附上证明材料。</w:t>
      </w:r>
    </w:p>
    <w:p w14:paraId="2E5D67B3">
      <w:pPr>
        <w:rPr>
          <w:rFonts w:hint="eastAsia"/>
          <w:b/>
          <w:bCs/>
          <w:sz w:val="44"/>
          <w:szCs w:val="44"/>
        </w:rPr>
      </w:pPr>
    </w:p>
    <w:p w14:paraId="5060117F">
      <w:pPr>
        <w:spacing w:line="560" w:lineRule="exact"/>
        <w:rPr>
          <w:rFonts w:hint="eastAsia" w:ascii="仿宋_GB2312" w:eastAsia="仿宋_GB2312"/>
          <w:sz w:val="32"/>
          <w:szCs w:val="32"/>
        </w:rPr>
      </w:pPr>
    </w:p>
    <w:p w14:paraId="5D387DA8"/>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A9826B"/>
    <w:multiLevelType w:val="singleLevel"/>
    <w:tmpl w:val="C4A9826B"/>
    <w:lvl w:ilvl="0" w:tentative="0">
      <w:start w:val="1"/>
      <w:numFmt w:val="chineseCounting"/>
      <w:suff w:val="nothing"/>
      <w:lvlText w:val="（%1）"/>
      <w:lvlJc w:val="left"/>
      <w:pPr>
        <w:ind w:left="640" w:firstLine="0"/>
      </w:pPr>
      <w:rPr>
        <w:rFonts w:hint="eastAsia"/>
      </w:rPr>
    </w:lvl>
  </w:abstractNum>
  <w:abstractNum w:abstractNumId="1">
    <w:nsid w:val="2CDE01CA"/>
    <w:multiLevelType w:val="multilevel"/>
    <w:tmpl w:val="2CDE01CA"/>
    <w:lvl w:ilvl="0" w:tentative="0">
      <w:start w:val="1"/>
      <w:numFmt w:val="japaneseCounting"/>
      <w:lvlText w:val="（%1）"/>
      <w:lvlJc w:val="left"/>
      <w:pPr>
        <w:ind w:left="1720" w:hanging="1080"/>
      </w:pPr>
      <w:rPr>
        <w:rFonts w:hint="default"/>
        <w:lang w:val="en-US"/>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359B49C6"/>
    <w:multiLevelType w:val="multilevel"/>
    <w:tmpl w:val="359B49C6"/>
    <w:lvl w:ilvl="0" w:tentative="0">
      <w:start w:val="1"/>
      <w:numFmt w:val="japaneseCounting"/>
      <w:lvlText w:val="第%1章"/>
      <w:lvlJc w:val="left"/>
      <w:pPr>
        <w:ind w:left="1118" w:hanging="1118"/>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C769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2024-12-26T01:53:38Z</dcterms:created>
  <dc:creator>冉英欣</dc:creator>
  <cp:lastModifiedBy>冉</cp:lastModifiedBy>
  <dcterms:modified xsi:type="dcterms:W3CDTF">2024-12-26T01:53:57Z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9EE9E6EB41784F0FACAA57FCEA8365F5_12</vt:lpwstr>
  </property>
</Properties>
</file>